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BBB65" w14:textId="77777777" w:rsidR="00254C24" w:rsidRDefault="00057471">
      <w:pPr>
        <w:pStyle w:val="Heading2"/>
        <w:rPr>
          <w:rFonts w:ascii="Calibri" w:hAnsi="Calibri"/>
          <w:i w:val="0"/>
        </w:rPr>
      </w:pPr>
      <w:bookmarkStart w:id="0" w:name="_GoBack"/>
      <w:bookmarkEnd w:id="0"/>
      <w:r>
        <w:rPr>
          <w:rFonts w:ascii="Calibri" w:hAnsi="Calibri"/>
          <w:i w:val="0"/>
        </w:rPr>
        <w:t>CR-05 - Goals and Outcomes</w:t>
      </w:r>
    </w:p>
    <w:p w14:paraId="0CC0D13C" w14:textId="77777777" w:rsidR="00254C24" w:rsidRDefault="00057471">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6E8EA90E" w14:textId="77777777" w:rsidR="000D5A02" w:rsidRDefault="000D5A02">
      <w:pPr>
        <w:keepNext/>
        <w:widowControl w:val="0"/>
        <w:spacing w:after="0" w:line="240" w:lineRule="auto"/>
      </w:pPr>
      <w:r>
        <w:t>n Program Year 2024, the City of Long Branch successfully concluded its 5-Year Consolidated Plan period with significant accomplishments across all priority areas. The final year saw continued momentum in public service delivery, infrastructure improvements, and administrative efficiency, with most goals exceeding expectations.</w:t>
      </w:r>
    </w:p>
    <w:p w14:paraId="62D2C87E" w14:textId="77777777" w:rsidR="000D5A02" w:rsidRDefault="000D5A02">
      <w:pPr>
        <w:keepNext/>
        <w:widowControl w:val="0"/>
        <w:spacing w:after="0" w:line="240" w:lineRule="auto"/>
        <w:rPr>
          <w:b/>
          <w:sz w:val="24"/>
          <w:szCs w:val="24"/>
        </w:rPr>
      </w:pPr>
    </w:p>
    <w:p w14:paraId="0711064A" w14:textId="71F86F4D" w:rsidR="00254C24" w:rsidRDefault="00057471">
      <w:pPr>
        <w:keepNext/>
        <w:widowControl w:val="0"/>
        <w:spacing w:after="0" w:line="240" w:lineRule="auto"/>
        <w:rPr>
          <w:b/>
          <w:sz w:val="24"/>
          <w:szCs w:val="24"/>
        </w:rPr>
      </w:pPr>
      <w:r>
        <w:rPr>
          <w:b/>
          <w:sz w:val="24"/>
          <w:szCs w:val="24"/>
        </w:rPr>
        <w:t>Comparison of the proposed versus actual outcomes for each outcome measure submitted with the consolidated plan and explain, if applicable, why progress was not made toward meeting goals and objectives.  91.520(g)</w:t>
      </w:r>
    </w:p>
    <w:p w14:paraId="332B059F" w14:textId="77777777" w:rsidR="00254C24" w:rsidRDefault="00057471">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14:paraId="14837C35" w14:textId="77777777" w:rsidR="00254C24" w:rsidRDefault="00254C24">
      <w:pPr>
        <w:widowControl w:val="0"/>
        <w:rPr>
          <w:b/>
          <w:sz w:val="24"/>
          <w:szCs w:val="24"/>
        </w:rPr>
      </w:pPr>
    </w:p>
    <w:tbl>
      <w:tblPr>
        <w:tblStyle w:val="TableGrid"/>
        <w:tblW w:w="13728" w:type="dxa"/>
        <w:tblInd w:w="0" w:type="dxa"/>
        <w:tblLayout w:type="fixed"/>
        <w:tblLook w:val="04A0" w:firstRow="1" w:lastRow="0" w:firstColumn="1" w:lastColumn="0" w:noHBand="0" w:noVBand="1"/>
      </w:tblPr>
      <w:tblGrid>
        <w:gridCol w:w="1615"/>
        <w:gridCol w:w="1620"/>
        <w:gridCol w:w="990"/>
        <w:gridCol w:w="1980"/>
        <w:gridCol w:w="990"/>
        <w:gridCol w:w="1170"/>
        <w:gridCol w:w="900"/>
        <w:gridCol w:w="1170"/>
        <w:gridCol w:w="1080"/>
        <w:gridCol w:w="990"/>
        <w:gridCol w:w="1223"/>
      </w:tblGrid>
      <w:tr w:rsidR="00324041" w14:paraId="36AF0E33" w14:textId="77777777" w:rsidTr="002A4B37">
        <w:tc>
          <w:tcPr>
            <w:tcW w:w="1615" w:type="dxa"/>
          </w:tcPr>
          <w:p w14:paraId="1340AFC2" w14:textId="77777777" w:rsidR="00254C24" w:rsidRDefault="00057471" w:rsidP="00324041">
            <w:pPr>
              <w:keepNext/>
              <w:widowControl w:val="0"/>
              <w:spacing w:after="0" w:line="240" w:lineRule="auto"/>
              <w:jc w:val="center"/>
              <w:rPr>
                <w:b/>
              </w:rPr>
            </w:pPr>
            <w:r>
              <w:rPr>
                <w:b/>
              </w:rPr>
              <w:t>Goal</w:t>
            </w:r>
          </w:p>
        </w:tc>
        <w:tc>
          <w:tcPr>
            <w:tcW w:w="1620" w:type="dxa"/>
          </w:tcPr>
          <w:p w14:paraId="33A3694A" w14:textId="77777777" w:rsidR="00254C24" w:rsidRDefault="00057471" w:rsidP="00324041">
            <w:pPr>
              <w:keepNext/>
              <w:widowControl w:val="0"/>
              <w:spacing w:after="0" w:line="240" w:lineRule="auto"/>
              <w:jc w:val="center"/>
              <w:rPr>
                <w:b/>
              </w:rPr>
            </w:pPr>
            <w:r>
              <w:rPr>
                <w:b/>
              </w:rPr>
              <w:t>Category</w:t>
            </w:r>
          </w:p>
        </w:tc>
        <w:tc>
          <w:tcPr>
            <w:tcW w:w="990" w:type="dxa"/>
          </w:tcPr>
          <w:p w14:paraId="1F0AFE1F" w14:textId="77777777" w:rsidR="00254C24" w:rsidRDefault="00057471" w:rsidP="00324041">
            <w:pPr>
              <w:keepNext/>
              <w:widowControl w:val="0"/>
              <w:spacing w:after="0" w:line="240" w:lineRule="auto"/>
              <w:jc w:val="center"/>
              <w:rPr>
                <w:b/>
              </w:rPr>
            </w:pPr>
            <w:r>
              <w:rPr>
                <w:b/>
              </w:rPr>
              <w:t>Source / Amount</w:t>
            </w:r>
          </w:p>
        </w:tc>
        <w:tc>
          <w:tcPr>
            <w:tcW w:w="1980" w:type="dxa"/>
          </w:tcPr>
          <w:p w14:paraId="03C3B49F" w14:textId="77777777" w:rsidR="00254C24" w:rsidRDefault="00057471" w:rsidP="00324041">
            <w:pPr>
              <w:keepNext/>
              <w:widowControl w:val="0"/>
              <w:spacing w:after="0" w:line="240" w:lineRule="auto"/>
              <w:jc w:val="center"/>
              <w:rPr>
                <w:b/>
              </w:rPr>
            </w:pPr>
            <w:r>
              <w:rPr>
                <w:b/>
              </w:rPr>
              <w:t>Indicator</w:t>
            </w:r>
          </w:p>
        </w:tc>
        <w:tc>
          <w:tcPr>
            <w:tcW w:w="990" w:type="dxa"/>
          </w:tcPr>
          <w:p w14:paraId="05F4E493" w14:textId="77777777" w:rsidR="00254C24" w:rsidRDefault="00057471" w:rsidP="00324041">
            <w:pPr>
              <w:keepNext/>
              <w:widowControl w:val="0"/>
              <w:spacing w:after="0" w:line="240" w:lineRule="auto"/>
              <w:jc w:val="center"/>
              <w:rPr>
                <w:b/>
              </w:rPr>
            </w:pPr>
            <w:r>
              <w:rPr>
                <w:b/>
              </w:rPr>
              <w:t>Unit of Measure</w:t>
            </w:r>
          </w:p>
        </w:tc>
        <w:tc>
          <w:tcPr>
            <w:tcW w:w="1170" w:type="dxa"/>
            <w:shd w:val="clear" w:color="auto" w:fill="DDD9C3" w:themeFill="background2" w:themeFillShade="E6"/>
          </w:tcPr>
          <w:p w14:paraId="1EF18058" w14:textId="77777777" w:rsidR="00254C24" w:rsidRPr="002A4B37" w:rsidRDefault="00057471" w:rsidP="00324041">
            <w:pPr>
              <w:keepNext/>
              <w:widowControl w:val="0"/>
              <w:spacing w:after="0" w:line="240" w:lineRule="auto"/>
              <w:jc w:val="center"/>
              <w:rPr>
                <w:b/>
                <w:sz w:val="18"/>
                <w:szCs w:val="18"/>
              </w:rPr>
            </w:pPr>
            <w:r w:rsidRPr="002A4B37">
              <w:rPr>
                <w:b/>
                <w:sz w:val="18"/>
                <w:szCs w:val="18"/>
              </w:rPr>
              <w:t>Expected – Strategic Plan</w:t>
            </w:r>
          </w:p>
        </w:tc>
        <w:tc>
          <w:tcPr>
            <w:tcW w:w="900" w:type="dxa"/>
            <w:shd w:val="clear" w:color="auto" w:fill="DDD9C3" w:themeFill="background2" w:themeFillShade="E6"/>
          </w:tcPr>
          <w:p w14:paraId="31D57880" w14:textId="77777777" w:rsidR="00254C24" w:rsidRPr="002A4B37" w:rsidRDefault="00057471" w:rsidP="00324041">
            <w:pPr>
              <w:keepNext/>
              <w:widowControl w:val="0"/>
              <w:spacing w:after="0" w:line="240" w:lineRule="auto"/>
              <w:jc w:val="center"/>
              <w:rPr>
                <w:b/>
                <w:sz w:val="18"/>
                <w:szCs w:val="18"/>
              </w:rPr>
            </w:pPr>
            <w:r w:rsidRPr="002A4B37">
              <w:rPr>
                <w:b/>
                <w:sz w:val="18"/>
                <w:szCs w:val="18"/>
              </w:rPr>
              <w:t>Actual – Strategic Plan</w:t>
            </w:r>
          </w:p>
        </w:tc>
        <w:tc>
          <w:tcPr>
            <w:tcW w:w="1170" w:type="dxa"/>
            <w:shd w:val="clear" w:color="auto" w:fill="DDD9C3" w:themeFill="background2" w:themeFillShade="E6"/>
          </w:tcPr>
          <w:p w14:paraId="657C99BE" w14:textId="77777777" w:rsidR="00254C24" w:rsidRPr="002A4B37" w:rsidRDefault="00057471" w:rsidP="00324041">
            <w:pPr>
              <w:keepNext/>
              <w:widowControl w:val="0"/>
              <w:spacing w:after="0" w:line="240" w:lineRule="auto"/>
              <w:jc w:val="center"/>
              <w:rPr>
                <w:b/>
                <w:sz w:val="18"/>
                <w:szCs w:val="18"/>
              </w:rPr>
            </w:pPr>
            <w:r w:rsidRPr="002A4B37">
              <w:rPr>
                <w:b/>
                <w:sz w:val="18"/>
                <w:szCs w:val="18"/>
              </w:rPr>
              <w:t>Percent Complete</w:t>
            </w:r>
          </w:p>
        </w:tc>
        <w:tc>
          <w:tcPr>
            <w:tcW w:w="1080" w:type="dxa"/>
            <w:shd w:val="clear" w:color="auto" w:fill="B6DDE8" w:themeFill="accent5" w:themeFillTint="66"/>
          </w:tcPr>
          <w:p w14:paraId="782306A8" w14:textId="77777777" w:rsidR="00254C24" w:rsidRPr="002A4B37" w:rsidRDefault="00057471" w:rsidP="00324041">
            <w:pPr>
              <w:keepNext/>
              <w:widowControl w:val="0"/>
              <w:spacing w:after="0" w:line="240" w:lineRule="auto"/>
              <w:jc w:val="center"/>
              <w:rPr>
                <w:b/>
                <w:sz w:val="18"/>
                <w:szCs w:val="18"/>
              </w:rPr>
            </w:pPr>
            <w:r w:rsidRPr="002A4B37">
              <w:rPr>
                <w:b/>
                <w:sz w:val="18"/>
                <w:szCs w:val="18"/>
              </w:rPr>
              <w:t>Expected – Program Year</w:t>
            </w:r>
          </w:p>
        </w:tc>
        <w:tc>
          <w:tcPr>
            <w:tcW w:w="990" w:type="dxa"/>
            <w:shd w:val="clear" w:color="auto" w:fill="B6DDE8" w:themeFill="accent5" w:themeFillTint="66"/>
          </w:tcPr>
          <w:p w14:paraId="72C345CD" w14:textId="77777777" w:rsidR="00254C24" w:rsidRPr="002A4B37" w:rsidRDefault="00057471" w:rsidP="00324041">
            <w:pPr>
              <w:keepNext/>
              <w:widowControl w:val="0"/>
              <w:spacing w:after="0" w:line="240" w:lineRule="auto"/>
              <w:jc w:val="center"/>
              <w:rPr>
                <w:b/>
                <w:sz w:val="18"/>
                <w:szCs w:val="18"/>
              </w:rPr>
            </w:pPr>
            <w:r w:rsidRPr="002A4B37">
              <w:rPr>
                <w:b/>
                <w:sz w:val="18"/>
                <w:szCs w:val="18"/>
              </w:rPr>
              <w:t>Actual – Program Year</w:t>
            </w:r>
          </w:p>
        </w:tc>
        <w:tc>
          <w:tcPr>
            <w:tcW w:w="1223" w:type="dxa"/>
            <w:shd w:val="clear" w:color="auto" w:fill="B6DDE8" w:themeFill="accent5" w:themeFillTint="66"/>
          </w:tcPr>
          <w:p w14:paraId="4859C388" w14:textId="77777777" w:rsidR="00254C24" w:rsidRPr="002A4B37" w:rsidRDefault="00057471" w:rsidP="00324041">
            <w:pPr>
              <w:keepNext/>
              <w:widowControl w:val="0"/>
              <w:spacing w:after="0" w:line="240" w:lineRule="auto"/>
              <w:jc w:val="center"/>
              <w:rPr>
                <w:b/>
                <w:sz w:val="18"/>
                <w:szCs w:val="18"/>
              </w:rPr>
            </w:pPr>
            <w:r w:rsidRPr="002A4B37">
              <w:rPr>
                <w:b/>
                <w:sz w:val="18"/>
                <w:szCs w:val="18"/>
              </w:rPr>
              <w:t>Percent Complete</w:t>
            </w:r>
          </w:p>
        </w:tc>
      </w:tr>
      <w:tr w:rsidR="002A4B37" w14:paraId="01801E24" w14:textId="77777777" w:rsidTr="002A4B37">
        <w:trPr>
          <w:cantSplit/>
        </w:trPr>
        <w:tc>
          <w:tcPr>
            <w:tcW w:w="1615" w:type="dxa"/>
            <w:vAlign w:val="center"/>
          </w:tcPr>
          <w:p w14:paraId="74C0938A" w14:textId="77777777" w:rsidR="00254C24" w:rsidRDefault="00057471">
            <w:pPr>
              <w:spacing w:beforeAutospacing="1" w:afterAutospacing="1"/>
            </w:pPr>
            <w:r>
              <w:rPr>
                <w:color w:val="000000"/>
                <w:sz w:val="22"/>
              </w:rPr>
              <w:t>Administration</w:t>
            </w:r>
          </w:p>
        </w:tc>
        <w:tc>
          <w:tcPr>
            <w:tcW w:w="1620" w:type="dxa"/>
            <w:vAlign w:val="center"/>
          </w:tcPr>
          <w:p w14:paraId="1AE90D3F" w14:textId="77777777" w:rsidR="00254C24" w:rsidRDefault="00057471">
            <w:pPr>
              <w:spacing w:beforeAutospacing="1" w:afterAutospacing="1"/>
            </w:pPr>
            <w:r>
              <w:rPr>
                <w:color w:val="000000"/>
                <w:sz w:val="22"/>
              </w:rPr>
              <w:t>Administration</w:t>
            </w:r>
          </w:p>
        </w:tc>
        <w:tc>
          <w:tcPr>
            <w:tcW w:w="990" w:type="dxa"/>
            <w:vAlign w:val="center"/>
          </w:tcPr>
          <w:p w14:paraId="79ADE3F4" w14:textId="77777777" w:rsidR="00254C24" w:rsidRDefault="00057471">
            <w:pPr>
              <w:spacing w:beforeAutospacing="1" w:afterAutospacing="1"/>
            </w:pPr>
            <w:r>
              <w:rPr>
                <w:color w:val="000000"/>
                <w:sz w:val="22"/>
              </w:rPr>
              <w:t>CDBG: $</w:t>
            </w:r>
          </w:p>
        </w:tc>
        <w:tc>
          <w:tcPr>
            <w:tcW w:w="1980" w:type="dxa"/>
            <w:vAlign w:val="center"/>
          </w:tcPr>
          <w:p w14:paraId="1F0EFF14" w14:textId="77777777" w:rsidR="00254C24" w:rsidRDefault="00057471">
            <w:pPr>
              <w:spacing w:beforeAutospacing="1" w:afterAutospacing="1"/>
            </w:pPr>
            <w:r>
              <w:rPr>
                <w:color w:val="000000"/>
                <w:sz w:val="22"/>
              </w:rPr>
              <w:t>Other</w:t>
            </w:r>
          </w:p>
        </w:tc>
        <w:tc>
          <w:tcPr>
            <w:tcW w:w="990" w:type="dxa"/>
            <w:vAlign w:val="center"/>
          </w:tcPr>
          <w:p w14:paraId="1D5C6A6D" w14:textId="77777777" w:rsidR="00254C24" w:rsidRDefault="00057471" w:rsidP="00BB0CD4">
            <w:pPr>
              <w:spacing w:beforeAutospacing="1" w:afterAutospacing="1"/>
              <w:jc w:val="center"/>
            </w:pPr>
            <w:r>
              <w:rPr>
                <w:color w:val="000000"/>
                <w:sz w:val="22"/>
              </w:rPr>
              <w:t>Other</w:t>
            </w:r>
          </w:p>
        </w:tc>
        <w:tc>
          <w:tcPr>
            <w:tcW w:w="1170" w:type="dxa"/>
            <w:vAlign w:val="center"/>
          </w:tcPr>
          <w:p w14:paraId="7D6B87FF" w14:textId="77777777" w:rsidR="00254C24" w:rsidRDefault="00057471" w:rsidP="00BB0CD4">
            <w:pPr>
              <w:spacing w:beforeAutospacing="1" w:afterAutospacing="1"/>
              <w:jc w:val="center"/>
            </w:pPr>
            <w:r>
              <w:rPr>
                <w:color w:val="000000"/>
                <w:sz w:val="22"/>
              </w:rPr>
              <w:t>1</w:t>
            </w:r>
          </w:p>
        </w:tc>
        <w:tc>
          <w:tcPr>
            <w:tcW w:w="900" w:type="dxa"/>
            <w:vAlign w:val="center"/>
          </w:tcPr>
          <w:p w14:paraId="214D4EE1" w14:textId="77777777" w:rsidR="00254C24" w:rsidRDefault="00057471" w:rsidP="00BB0CD4">
            <w:pPr>
              <w:spacing w:beforeAutospacing="1" w:afterAutospacing="1"/>
              <w:jc w:val="center"/>
            </w:pPr>
            <w:r>
              <w:rPr>
                <w:color w:val="000000"/>
                <w:sz w:val="22"/>
              </w:rPr>
              <w:t>1</w:t>
            </w:r>
          </w:p>
        </w:tc>
        <w:tc>
          <w:tcPr>
            <w:tcW w:w="1170" w:type="dxa"/>
            <w:vAlign w:val="center"/>
          </w:tcPr>
          <w:p w14:paraId="2DD7D05A" w14:textId="44A603E0" w:rsidR="00254C24" w:rsidRDefault="00057471" w:rsidP="00BB0CD4">
            <w:pPr>
              <w:spacing w:beforeAutospacing="1" w:afterAutospacing="1"/>
              <w:jc w:val="center"/>
            </w:pPr>
            <w:r>
              <w:rPr>
                <w:color w:val="000000"/>
                <w:sz w:val="22"/>
              </w:rPr>
              <w:t>100.00%</w:t>
            </w:r>
          </w:p>
        </w:tc>
        <w:tc>
          <w:tcPr>
            <w:tcW w:w="1080" w:type="dxa"/>
            <w:vAlign w:val="center"/>
          </w:tcPr>
          <w:p w14:paraId="4B60D287" w14:textId="60E44D8C" w:rsidR="00254C24" w:rsidRDefault="00324041" w:rsidP="00BB0CD4">
            <w:pPr>
              <w:spacing w:beforeAutospacing="1" w:afterAutospacing="1"/>
              <w:jc w:val="center"/>
            </w:pPr>
            <w:r>
              <w:t>1</w:t>
            </w:r>
          </w:p>
        </w:tc>
        <w:tc>
          <w:tcPr>
            <w:tcW w:w="990" w:type="dxa"/>
            <w:vAlign w:val="center"/>
          </w:tcPr>
          <w:p w14:paraId="5C7969F8" w14:textId="317FE9CC" w:rsidR="00254C24" w:rsidRDefault="00324041" w:rsidP="00BB0CD4">
            <w:pPr>
              <w:spacing w:beforeAutospacing="1" w:afterAutospacing="1"/>
              <w:jc w:val="center"/>
            </w:pPr>
            <w:r>
              <w:t>1</w:t>
            </w:r>
          </w:p>
        </w:tc>
        <w:tc>
          <w:tcPr>
            <w:tcW w:w="1223" w:type="dxa"/>
            <w:vAlign w:val="center"/>
          </w:tcPr>
          <w:p w14:paraId="38E342A2" w14:textId="7E3E4FD0" w:rsidR="00254C24" w:rsidRPr="00324041" w:rsidRDefault="00324041" w:rsidP="00BB0CD4">
            <w:pPr>
              <w:spacing w:beforeAutospacing="1" w:afterAutospacing="1"/>
              <w:jc w:val="center"/>
              <w:rPr>
                <w:sz w:val="22"/>
                <w:szCs w:val="22"/>
              </w:rPr>
            </w:pPr>
            <w:r w:rsidRPr="00324041">
              <w:rPr>
                <w:sz w:val="22"/>
                <w:szCs w:val="22"/>
              </w:rPr>
              <w:t>100.00</w:t>
            </w:r>
            <w:r>
              <w:rPr>
                <w:sz w:val="22"/>
                <w:szCs w:val="22"/>
              </w:rPr>
              <w:t>%</w:t>
            </w:r>
          </w:p>
        </w:tc>
      </w:tr>
      <w:tr w:rsidR="002A4B37" w14:paraId="349337A2" w14:textId="77777777" w:rsidTr="002A4B37">
        <w:trPr>
          <w:cantSplit/>
        </w:trPr>
        <w:tc>
          <w:tcPr>
            <w:tcW w:w="1615" w:type="dxa"/>
            <w:vAlign w:val="center"/>
          </w:tcPr>
          <w:p w14:paraId="2B110406" w14:textId="77777777" w:rsidR="00254C24" w:rsidRDefault="00057471" w:rsidP="00324041">
            <w:pPr>
              <w:spacing w:beforeAutospacing="1" w:afterAutospacing="1"/>
              <w:jc w:val="center"/>
            </w:pPr>
            <w:r>
              <w:rPr>
                <w:color w:val="000000"/>
                <w:sz w:val="22"/>
              </w:rPr>
              <w:t>Improving Public Facilities</w:t>
            </w:r>
          </w:p>
        </w:tc>
        <w:tc>
          <w:tcPr>
            <w:tcW w:w="1620" w:type="dxa"/>
            <w:vAlign w:val="center"/>
          </w:tcPr>
          <w:p w14:paraId="46D435D1" w14:textId="77777777" w:rsidR="00254C24" w:rsidRDefault="00057471" w:rsidP="00324041">
            <w:pPr>
              <w:spacing w:beforeAutospacing="1" w:afterAutospacing="1"/>
              <w:jc w:val="center"/>
            </w:pPr>
            <w:r>
              <w:rPr>
                <w:color w:val="000000"/>
                <w:sz w:val="22"/>
              </w:rPr>
              <w:t>Homeless</w:t>
            </w:r>
          </w:p>
        </w:tc>
        <w:tc>
          <w:tcPr>
            <w:tcW w:w="990" w:type="dxa"/>
            <w:vAlign w:val="center"/>
          </w:tcPr>
          <w:p w14:paraId="56217DE3" w14:textId="77777777" w:rsidR="00254C24" w:rsidRDefault="00057471" w:rsidP="00324041">
            <w:pPr>
              <w:spacing w:beforeAutospacing="1" w:afterAutospacing="1"/>
              <w:jc w:val="center"/>
            </w:pPr>
            <w:r>
              <w:rPr>
                <w:color w:val="000000"/>
                <w:sz w:val="22"/>
              </w:rPr>
              <w:t>CDBG: $</w:t>
            </w:r>
          </w:p>
        </w:tc>
        <w:tc>
          <w:tcPr>
            <w:tcW w:w="1980" w:type="dxa"/>
            <w:vAlign w:val="center"/>
          </w:tcPr>
          <w:p w14:paraId="5DE73F49" w14:textId="77777777" w:rsidR="00254C24" w:rsidRDefault="00057471">
            <w:pPr>
              <w:spacing w:beforeAutospacing="1" w:afterAutospacing="1"/>
            </w:pPr>
            <w:r>
              <w:rPr>
                <w:color w:val="000000"/>
                <w:sz w:val="22"/>
              </w:rPr>
              <w:t>Public Facility or Infrastructure Activities other than Low/Moderate Income Housing Benefit</w:t>
            </w:r>
          </w:p>
        </w:tc>
        <w:tc>
          <w:tcPr>
            <w:tcW w:w="990" w:type="dxa"/>
            <w:vAlign w:val="center"/>
          </w:tcPr>
          <w:p w14:paraId="0B73BAD9" w14:textId="77777777" w:rsidR="00254C24" w:rsidRDefault="00057471" w:rsidP="00BB0CD4">
            <w:pPr>
              <w:spacing w:beforeAutospacing="1" w:afterAutospacing="1"/>
              <w:jc w:val="center"/>
            </w:pPr>
            <w:r>
              <w:rPr>
                <w:color w:val="000000"/>
                <w:sz w:val="22"/>
              </w:rPr>
              <w:t>Persons Assisted</w:t>
            </w:r>
          </w:p>
        </w:tc>
        <w:tc>
          <w:tcPr>
            <w:tcW w:w="1170" w:type="dxa"/>
            <w:vAlign w:val="center"/>
          </w:tcPr>
          <w:p w14:paraId="71D3DCD0" w14:textId="77777777" w:rsidR="00254C24" w:rsidRDefault="00057471" w:rsidP="00BB0CD4">
            <w:pPr>
              <w:spacing w:beforeAutospacing="1" w:afterAutospacing="1"/>
              <w:jc w:val="center"/>
            </w:pPr>
            <w:r>
              <w:rPr>
                <w:color w:val="000000"/>
                <w:sz w:val="22"/>
              </w:rPr>
              <w:t>97500</w:t>
            </w:r>
          </w:p>
        </w:tc>
        <w:tc>
          <w:tcPr>
            <w:tcW w:w="900" w:type="dxa"/>
            <w:vAlign w:val="center"/>
          </w:tcPr>
          <w:p w14:paraId="67CB0A6D" w14:textId="77777777" w:rsidR="00254C24" w:rsidRDefault="00057471" w:rsidP="00BB0CD4">
            <w:pPr>
              <w:spacing w:beforeAutospacing="1" w:afterAutospacing="1"/>
              <w:jc w:val="center"/>
            </w:pPr>
            <w:r>
              <w:rPr>
                <w:color w:val="000000"/>
                <w:sz w:val="22"/>
              </w:rPr>
              <w:t>536259</w:t>
            </w:r>
          </w:p>
        </w:tc>
        <w:tc>
          <w:tcPr>
            <w:tcW w:w="1170" w:type="dxa"/>
            <w:vAlign w:val="center"/>
          </w:tcPr>
          <w:p w14:paraId="735BE2F8" w14:textId="12646BFC" w:rsidR="00254C24" w:rsidRDefault="00057471" w:rsidP="00BB0CD4">
            <w:pPr>
              <w:spacing w:beforeAutospacing="1" w:afterAutospacing="1"/>
              <w:jc w:val="center"/>
            </w:pPr>
            <w:r>
              <w:rPr>
                <w:color w:val="000000"/>
                <w:sz w:val="22"/>
              </w:rPr>
              <w:t>550.01%</w:t>
            </w:r>
          </w:p>
        </w:tc>
        <w:tc>
          <w:tcPr>
            <w:tcW w:w="1080" w:type="dxa"/>
            <w:vAlign w:val="center"/>
          </w:tcPr>
          <w:p w14:paraId="271F2919" w14:textId="77777777" w:rsidR="00254C24" w:rsidRDefault="00057471" w:rsidP="00BB0CD4">
            <w:pPr>
              <w:spacing w:beforeAutospacing="1" w:afterAutospacing="1"/>
              <w:jc w:val="center"/>
            </w:pPr>
            <w:r>
              <w:rPr>
                <w:color w:val="000000"/>
                <w:sz w:val="22"/>
              </w:rPr>
              <w:t>12000</w:t>
            </w:r>
          </w:p>
        </w:tc>
        <w:tc>
          <w:tcPr>
            <w:tcW w:w="990" w:type="dxa"/>
            <w:vAlign w:val="center"/>
          </w:tcPr>
          <w:p w14:paraId="71787839" w14:textId="77777777" w:rsidR="00254C24" w:rsidRDefault="00057471" w:rsidP="00BB0CD4">
            <w:pPr>
              <w:spacing w:beforeAutospacing="1" w:afterAutospacing="1"/>
              <w:jc w:val="center"/>
            </w:pPr>
            <w:r>
              <w:rPr>
                <w:color w:val="000000"/>
                <w:sz w:val="22"/>
              </w:rPr>
              <w:t>60805</w:t>
            </w:r>
          </w:p>
        </w:tc>
        <w:tc>
          <w:tcPr>
            <w:tcW w:w="1223" w:type="dxa"/>
            <w:vAlign w:val="center"/>
          </w:tcPr>
          <w:p w14:paraId="35A9223C" w14:textId="318F6C5A" w:rsidR="00254C24" w:rsidRDefault="00057471" w:rsidP="00BB0CD4">
            <w:pPr>
              <w:spacing w:beforeAutospacing="1" w:afterAutospacing="1"/>
              <w:jc w:val="center"/>
            </w:pPr>
            <w:r>
              <w:rPr>
                <w:color w:val="000000"/>
                <w:sz w:val="22"/>
              </w:rPr>
              <w:t>506.71%</w:t>
            </w:r>
          </w:p>
        </w:tc>
      </w:tr>
      <w:tr w:rsidR="002A4B37" w14:paraId="79167820" w14:textId="77777777" w:rsidTr="002A4B37">
        <w:trPr>
          <w:cantSplit/>
        </w:trPr>
        <w:tc>
          <w:tcPr>
            <w:tcW w:w="1615" w:type="dxa"/>
            <w:vAlign w:val="center"/>
          </w:tcPr>
          <w:p w14:paraId="0ECA018B" w14:textId="77777777" w:rsidR="00254C24" w:rsidRDefault="00057471" w:rsidP="00324041">
            <w:pPr>
              <w:spacing w:beforeAutospacing="1" w:afterAutospacing="1"/>
              <w:jc w:val="center"/>
            </w:pPr>
            <w:r>
              <w:rPr>
                <w:color w:val="000000"/>
                <w:sz w:val="22"/>
              </w:rPr>
              <w:t>Infrastructure</w:t>
            </w:r>
          </w:p>
        </w:tc>
        <w:tc>
          <w:tcPr>
            <w:tcW w:w="1620" w:type="dxa"/>
            <w:vAlign w:val="center"/>
          </w:tcPr>
          <w:p w14:paraId="76A9F41B" w14:textId="77777777" w:rsidR="00254C24" w:rsidRDefault="00057471" w:rsidP="00324041">
            <w:pPr>
              <w:spacing w:beforeAutospacing="1" w:afterAutospacing="1"/>
              <w:jc w:val="center"/>
            </w:pPr>
            <w:r>
              <w:rPr>
                <w:color w:val="000000"/>
                <w:sz w:val="22"/>
              </w:rPr>
              <w:t>Affordable Housing</w:t>
            </w:r>
            <w:r>
              <w:rPr>
                <w:color w:val="000000"/>
                <w:sz w:val="22"/>
              </w:rPr>
              <w:br/>
              <w:t>Public Housing</w:t>
            </w:r>
          </w:p>
        </w:tc>
        <w:tc>
          <w:tcPr>
            <w:tcW w:w="990" w:type="dxa"/>
            <w:vAlign w:val="center"/>
          </w:tcPr>
          <w:p w14:paraId="71069C01" w14:textId="77777777" w:rsidR="00254C24" w:rsidRDefault="00057471" w:rsidP="00324041">
            <w:pPr>
              <w:spacing w:beforeAutospacing="1" w:afterAutospacing="1"/>
              <w:jc w:val="center"/>
            </w:pPr>
            <w:r>
              <w:rPr>
                <w:color w:val="000000"/>
                <w:sz w:val="22"/>
              </w:rPr>
              <w:t>CDBG: $</w:t>
            </w:r>
          </w:p>
        </w:tc>
        <w:tc>
          <w:tcPr>
            <w:tcW w:w="1980" w:type="dxa"/>
            <w:vAlign w:val="center"/>
          </w:tcPr>
          <w:p w14:paraId="259BB74B" w14:textId="77777777" w:rsidR="00254C24" w:rsidRDefault="00057471">
            <w:pPr>
              <w:spacing w:beforeAutospacing="1" w:afterAutospacing="1"/>
            </w:pPr>
            <w:r>
              <w:rPr>
                <w:color w:val="000000"/>
                <w:sz w:val="22"/>
              </w:rPr>
              <w:t>Public Facility or Infrastructure Activities other than Low/Moderate Income Housing Benefit</w:t>
            </w:r>
          </w:p>
        </w:tc>
        <w:tc>
          <w:tcPr>
            <w:tcW w:w="990" w:type="dxa"/>
            <w:vAlign w:val="center"/>
          </w:tcPr>
          <w:p w14:paraId="61D3857F" w14:textId="77777777" w:rsidR="00254C24" w:rsidRDefault="00057471" w:rsidP="00BB0CD4">
            <w:pPr>
              <w:spacing w:beforeAutospacing="1" w:afterAutospacing="1"/>
              <w:jc w:val="center"/>
            </w:pPr>
            <w:r>
              <w:rPr>
                <w:color w:val="000000"/>
                <w:sz w:val="22"/>
              </w:rPr>
              <w:t>Persons Assisted</w:t>
            </w:r>
          </w:p>
        </w:tc>
        <w:tc>
          <w:tcPr>
            <w:tcW w:w="1170" w:type="dxa"/>
            <w:vAlign w:val="center"/>
          </w:tcPr>
          <w:p w14:paraId="0AB53D65" w14:textId="77777777" w:rsidR="00254C24" w:rsidRDefault="00057471" w:rsidP="00BB0CD4">
            <w:pPr>
              <w:spacing w:beforeAutospacing="1" w:afterAutospacing="1"/>
              <w:jc w:val="center"/>
            </w:pPr>
            <w:r>
              <w:rPr>
                <w:color w:val="000000"/>
                <w:sz w:val="22"/>
              </w:rPr>
              <w:t>10000</w:t>
            </w:r>
          </w:p>
        </w:tc>
        <w:tc>
          <w:tcPr>
            <w:tcW w:w="900" w:type="dxa"/>
            <w:vAlign w:val="center"/>
          </w:tcPr>
          <w:p w14:paraId="66010084" w14:textId="77777777" w:rsidR="00254C24" w:rsidRDefault="00057471" w:rsidP="00BB0CD4">
            <w:pPr>
              <w:spacing w:beforeAutospacing="1" w:afterAutospacing="1"/>
              <w:jc w:val="center"/>
            </w:pPr>
            <w:r>
              <w:rPr>
                <w:color w:val="000000"/>
                <w:sz w:val="22"/>
              </w:rPr>
              <w:t>188365</w:t>
            </w:r>
          </w:p>
        </w:tc>
        <w:tc>
          <w:tcPr>
            <w:tcW w:w="1170" w:type="dxa"/>
            <w:vAlign w:val="center"/>
          </w:tcPr>
          <w:p w14:paraId="4F7DA3F7" w14:textId="663C8F4F" w:rsidR="00254C24" w:rsidRDefault="00057471" w:rsidP="00BB0CD4">
            <w:pPr>
              <w:spacing w:beforeAutospacing="1" w:afterAutospacing="1"/>
              <w:jc w:val="center"/>
            </w:pPr>
            <w:r>
              <w:rPr>
                <w:color w:val="000000"/>
                <w:sz w:val="22"/>
              </w:rPr>
              <w:t>1,883.65%</w:t>
            </w:r>
          </w:p>
        </w:tc>
        <w:tc>
          <w:tcPr>
            <w:tcW w:w="1080" w:type="dxa"/>
            <w:vAlign w:val="center"/>
          </w:tcPr>
          <w:p w14:paraId="220816AB" w14:textId="77777777" w:rsidR="00254C24" w:rsidRDefault="00057471" w:rsidP="00BB0CD4">
            <w:pPr>
              <w:spacing w:beforeAutospacing="1" w:afterAutospacing="1"/>
              <w:jc w:val="center"/>
            </w:pPr>
            <w:r>
              <w:rPr>
                <w:color w:val="000000"/>
                <w:sz w:val="22"/>
              </w:rPr>
              <w:t>12000</w:t>
            </w:r>
          </w:p>
        </w:tc>
        <w:tc>
          <w:tcPr>
            <w:tcW w:w="990" w:type="dxa"/>
            <w:vAlign w:val="center"/>
          </w:tcPr>
          <w:p w14:paraId="2B5A7317" w14:textId="77777777" w:rsidR="00254C24" w:rsidRDefault="00057471" w:rsidP="00BB0CD4">
            <w:pPr>
              <w:spacing w:beforeAutospacing="1" w:afterAutospacing="1"/>
              <w:jc w:val="center"/>
            </w:pPr>
            <w:r>
              <w:rPr>
                <w:color w:val="000000"/>
                <w:sz w:val="22"/>
              </w:rPr>
              <w:t>30255</w:t>
            </w:r>
          </w:p>
        </w:tc>
        <w:tc>
          <w:tcPr>
            <w:tcW w:w="1223" w:type="dxa"/>
            <w:vAlign w:val="center"/>
          </w:tcPr>
          <w:p w14:paraId="47FE1272" w14:textId="3C52C901" w:rsidR="00254C24" w:rsidRDefault="00057471" w:rsidP="00BB0CD4">
            <w:pPr>
              <w:spacing w:beforeAutospacing="1" w:afterAutospacing="1"/>
              <w:jc w:val="center"/>
            </w:pPr>
            <w:r>
              <w:rPr>
                <w:color w:val="000000"/>
                <w:sz w:val="22"/>
              </w:rPr>
              <w:t>252.13%</w:t>
            </w:r>
          </w:p>
        </w:tc>
      </w:tr>
      <w:tr w:rsidR="002A4B37" w14:paraId="4C8CACBA" w14:textId="77777777" w:rsidTr="002A4B37">
        <w:trPr>
          <w:cantSplit/>
        </w:trPr>
        <w:tc>
          <w:tcPr>
            <w:tcW w:w="1615" w:type="dxa"/>
            <w:vAlign w:val="center"/>
          </w:tcPr>
          <w:p w14:paraId="6E0B6639" w14:textId="77777777" w:rsidR="00254C24" w:rsidRDefault="00057471" w:rsidP="00324041">
            <w:pPr>
              <w:spacing w:beforeAutospacing="1" w:afterAutospacing="1"/>
              <w:jc w:val="center"/>
            </w:pPr>
            <w:r>
              <w:rPr>
                <w:color w:val="000000"/>
                <w:sz w:val="22"/>
              </w:rPr>
              <w:lastRenderedPageBreak/>
              <w:t>Public Service</w:t>
            </w:r>
          </w:p>
        </w:tc>
        <w:tc>
          <w:tcPr>
            <w:tcW w:w="1620" w:type="dxa"/>
            <w:vAlign w:val="center"/>
          </w:tcPr>
          <w:p w14:paraId="465D89A0" w14:textId="77777777" w:rsidR="00254C24" w:rsidRDefault="00057471" w:rsidP="00324041">
            <w:pPr>
              <w:spacing w:beforeAutospacing="1" w:afterAutospacing="1"/>
              <w:jc w:val="center"/>
            </w:pPr>
            <w:r>
              <w:rPr>
                <w:color w:val="000000"/>
                <w:sz w:val="22"/>
              </w:rPr>
              <w:t>Non-Homeless Special Needs</w:t>
            </w:r>
            <w:r>
              <w:rPr>
                <w:color w:val="000000"/>
                <w:sz w:val="22"/>
              </w:rPr>
              <w:br/>
              <w:t>Non-Housing Community Development</w:t>
            </w:r>
          </w:p>
        </w:tc>
        <w:tc>
          <w:tcPr>
            <w:tcW w:w="990" w:type="dxa"/>
            <w:vAlign w:val="center"/>
          </w:tcPr>
          <w:p w14:paraId="0D758EC7" w14:textId="77777777" w:rsidR="00254C24" w:rsidRDefault="00057471" w:rsidP="00324041">
            <w:pPr>
              <w:spacing w:beforeAutospacing="1" w:afterAutospacing="1"/>
              <w:jc w:val="center"/>
            </w:pPr>
            <w:r>
              <w:rPr>
                <w:color w:val="000000"/>
                <w:sz w:val="22"/>
              </w:rPr>
              <w:t>CDBG: $</w:t>
            </w:r>
          </w:p>
        </w:tc>
        <w:tc>
          <w:tcPr>
            <w:tcW w:w="1980" w:type="dxa"/>
            <w:vAlign w:val="center"/>
          </w:tcPr>
          <w:p w14:paraId="71F31EFD" w14:textId="77777777" w:rsidR="00254C24" w:rsidRDefault="00057471">
            <w:pPr>
              <w:spacing w:beforeAutospacing="1" w:afterAutospacing="1"/>
            </w:pPr>
            <w:r>
              <w:rPr>
                <w:color w:val="000000"/>
                <w:sz w:val="22"/>
              </w:rPr>
              <w:t>Public Facility or Infrastructure Activities other than Low/Moderate Income Housing Benefit</w:t>
            </w:r>
          </w:p>
        </w:tc>
        <w:tc>
          <w:tcPr>
            <w:tcW w:w="990" w:type="dxa"/>
            <w:vAlign w:val="center"/>
          </w:tcPr>
          <w:p w14:paraId="16F8C0AE" w14:textId="77777777" w:rsidR="00254C24" w:rsidRDefault="00057471">
            <w:pPr>
              <w:spacing w:beforeAutospacing="1" w:afterAutospacing="1"/>
            </w:pPr>
            <w:r>
              <w:rPr>
                <w:color w:val="000000"/>
                <w:sz w:val="22"/>
              </w:rPr>
              <w:t>Persons Assisted</w:t>
            </w:r>
          </w:p>
        </w:tc>
        <w:tc>
          <w:tcPr>
            <w:tcW w:w="1170" w:type="dxa"/>
            <w:vAlign w:val="center"/>
          </w:tcPr>
          <w:p w14:paraId="600494EC" w14:textId="77777777" w:rsidR="00254C24" w:rsidRDefault="00057471" w:rsidP="00BB0CD4">
            <w:pPr>
              <w:spacing w:beforeAutospacing="1" w:afterAutospacing="1"/>
              <w:jc w:val="center"/>
            </w:pPr>
            <w:r>
              <w:rPr>
                <w:color w:val="000000"/>
                <w:sz w:val="22"/>
              </w:rPr>
              <w:t>0</w:t>
            </w:r>
          </w:p>
        </w:tc>
        <w:tc>
          <w:tcPr>
            <w:tcW w:w="900" w:type="dxa"/>
            <w:vAlign w:val="center"/>
          </w:tcPr>
          <w:p w14:paraId="2AD2070A" w14:textId="77777777" w:rsidR="00254C24" w:rsidRDefault="00057471" w:rsidP="00BB0CD4">
            <w:pPr>
              <w:spacing w:beforeAutospacing="1" w:afterAutospacing="1"/>
              <w:jc w:val="center"/>
            </w:pPr>
            <w:r>
              <w:rPr>
                <w:color w:val="000000"/>
                <w:sz w:val="22"/>
              </w:rPr>
              <w:t>54</w:t>
            </w:r>
          </w:p>
        </w:tc>
        <w:tc>
          <w:tcPr>
            <w:tcW w:w="1170" w:type="dxa"/>
            <w:vAlign w:val="center"/>
          </w:tcPr>
          <w:p w14:paraId="5664D449" w14:textId="4EF5F624" w:rsidR="00254C24" w:rsidRDefault="00254C24" w:rsidP="00BB0CD4">
            <w:pPr>
              <w:spacing w:beforeAutospacing="1" w:afterAutospacing="1"/>
              <w:jc w:val="center"/>
            </w:pPr>
          </w:p>
        </w:tc>
        <w:tc>
          <w:tcPr>
            <w:tcW w:w="1080" w:type="dxa"/>
            <w:vAlign w:val="center"/>
          </w:tcPr>
          <w:p w14:paraId="7530E38F" w14:textId="77777777" w:rsidR="00254C24" w:rsidRDefault="00057471" w:rsidP="00BB0CD4">
            <w:pPr>
              <w:spacing w:beforeAutospacing="1" w:afterAutospacing="1"/>
              <w:jc w:val="center"/>
            </w:pPr>
            <w:r>
              <w:rPr>
                <w:color w:val="000000"/>
                <w:sz w:val="22"/>
              </w:rPr>
              <w:t>0</w:t>
            </w:r>
          </w:p>
        </w:tc>
        <w:tc>
          <w:tcPr>
            <w:tcW w:w="990" w:type="dxa"/>
            <w:vAlign w:val="center"/>
          </w:tcPr>
          <w:p w14:paraId="6F96EC7E" w14:textId="77777777" w:rsidR="00254C24" w:rsidRDefault="00057471" w:rsidP="00BB0CD4">
            <w:pPr>
              <w:spacing w:beforeAutospacing="1" w:afterAutospacing="1"/>
              <w:jc w:val="center"/>
            </w:pPr>
            <w:r>
              <w:rPr>
                <w:color w:val="000000"/>
                <w:sz w:val="22"/>
              </w:rPr>
              <w:t>54</w:t>
            </w:r>
          </w:p>
        </w:tc>
        <w:tc>
          <w:tcPr>
            <w:tcW w:w="1223" w:type="dxa"/>
            <w:vAlign w:val="center"/>
          </w:tcPr>
          <w:p w14:paraId="0BFB8E3F" w14:textId="4CF0A78E" w:rsidR="00254C24" w:rsidRDefault="00254C24" w:rsidP="00BB0CD4">
            <w:pPr>
              <w:spacing w:beforeAutospacing="1" w:afterAutospacing="1"/>
              <w:jc w:val="center"/>
            </w:pPr>
          </w:p>
        </w:tc>
      </w:tr>
      <w:tr w:rsidR="002A4B37" w14:paraId="622DDF6D" w14:textId="77777777" w:rsidTr="002A4B37">
        <w:trPr>
          <w:cantSplit/>
        </w:trPr>
        <w:tc>
          <w:tcPr>
            <w:tcW w:w="1615" w:type="dxa"/>
            <w:vAlign w:val="center"/>
          </w:tcPr>
          <w:p w14:paraId="4BCB2AFE" w14:textId="77777777" w:rsidR="00254C24" w:rsidRDefault="00057471" w:rsidP="00324041">
            <w:pPr>
              <w:spacing w:beforeAutospacing="1" w:afterAutospacing="1"/>
              <w:jc w:val="center"/>
            </w:pPr>
            <w:r>
              <w:rPr>
                <w:color w:val="000000"/>
                <w:sz w:val="22"/>
              </w:rPr>
              <w:t>Public Service</w:t>
            </w:r>
          </w:p>
        </w:tc>
        <w:tc>
          <w:tcPr>
            <w:tcW w:w="1620" w:type="dxa"/>
            <w:vAlign w:val="center"/>
          </w:tcPr>
          <w:p w14:paraId="4C3D40CB" w14:textId="77777777" w:rsidR="00254C24" w:rsidRDefault="00057471" w:rsidP="00324041">
            <w:pPr>
              <w:spacing w:beforeAutospacing="1" w:afterAutospacing="1"/>
              <w:jc w:val="center"/>
            </w:pPr>
            <w:r>
              <w:rPr>
                <w:color w:val="000000"/>
                <w:sz w:val="22"/>
              </w:rPr>
              <w:t>Non-Homeless Special Needs</w:t>
            </w:r>
            <w:r>
              <w:rPr>
                <w:color w:val="000000"/>
                <w:sz w:val="22"/>
              </w:rPr>
              <w:br/>
              <w:t>Non-Housing Community Development</w:t>
            </w:r>
          </w:p>
        </w:tc>
        <w:tc>
          <w:tcPr>
            <w:tcW w:w="990" w:type="dxa"/>
            <w:vAlign w:val="center"/>
          </w:tcPr>
          <w:p w14:paraId="64EB8283" w14:textId="77777777" w:rsidR="00254C24" w:rsidRDefault="00057471" w:rsidP="00324041">
            <w:pPr>
              <w:spacing w:beforeAutospacing="1" w:afterAutospacing="1"/>
              <w:jc w:val="center"/>
            </w:pPr>
            <w:r>
              <w:rPr>
                <w:color w:val="000000"/>
                <w:sz w:val="22"/>
              </w:rPr>
              <w:t>CDBG: $</w:t>
            </w:r>
          </w:p>
        </w:tc>
        <w:tc>
          <w:tcPr>
            <w:tcW w:w="1980" w:type="dxa"/>
            <w:vAlign w:val="center"/>
          </w:tcPr>
          <w:p w14:paraId="39FAC278" w14:textId="77777777" w:rsidR="00254C24" w:rsidRDefault="00057471">
            <w:pPr>
              <w:spacing w:beforeAutospacing="1" w:afterAutospacing="1"/>
            </w:pPr>
            <w:r>
              <w:rPr>
                <w:color w:val="000000"/>
                <w:sz w:val="22"/>
              </w:rPr>
              <w:t>Public service activities other than Low/Moderate Income Housing Benefit</w:t>
            </w:r>
          </w:p>
        </w:tc>
        <w:tc>
          <w:tcPr>
            <w:tcW w:w="990" w:type="dxa"/>
            <w:vAlign w:val="center"/>
          </w:tcPr>
          <w:p w14:paraId="64033821" w14:textId="77777777" w:rsidR="00254C24" w:rsidRDefault="00057471">
            <w:pPr>
              <w:spacing w:beforeAutospacing="1" w:afterAutospacing="1"/>
            </w:pPr>
            <w:r>
              <w:rPr>
                <w:color w:val="000000"/>
                <w:sz w:val="22"/>
              </w:rPr>
              <w:t>Persons Assisted</w:t>
            </w:r>
          </w:p>
        </w:tc>
        <w:tc>
          <w:tcPr>
            <w:tcW w:w="1170" w:type="dxa"/>
            <w:vAlign w:val="center"/>
          </w:tcPr>
          <w:p w14:paraId="6A8D2F37" w14:textId="77777777" w:rsidR="00254C24" w:rsidRDefault="00057471" w:rsidP="00BB0CD4">
            <w:pPr>
              <w:spacing w:beforeAutospacing="1" w:afterAutospacing="1"/>
              <w:jc w:val="center"/>
            </w:pPr>
            <w:r>
              <w:rPr>
                <w:color w:val="000000"/>
                <w:sz w:val="22"/>
              </w:rPr>
              <w:t>5000</w:t>
            </w:r>
          </w:p>
        </w:tc>
        <w:tc>
          <w:tcPr>
            <w:tcW w:w="900" w:type="dxa"/>
            <w:vAlign w:val="center"/>
          </w:tcPr>
          <w:p w14:paraId="45593A08" w14:textId="77777777" w:rsidR="00254C24" w:rsidRDefault="00057471" w:rsidP="00BB0CD4">
            <w:pPr>
              <w:spacing w:beforeAutospacing="1" w:afterAutospacing="1"/>
              <w:jc w:val="center"/>
            </w:pPr>
            <w:r>
              <w:rPr>
                <w:color w:val="000000"/>
                <w:sz w:val="22"/>
              </w:rPr>
              <w:t>223765</w:t>
            </w:r>
          </w:p>
        </w:tc>
        <w:tc>
          <w:tcPr>
            <w:tcW w:w="1170" w:type="dxa"/>
            <w:vAlign w:val="center"/>
          </w:tcPr>
          <w:p w14:paraId="0B1411B6" w14:textId="4758E2AE" w:rsidR="00254C24" w:rsidRDefault="00057471" w:rsidP="00BB0CD4">
            <w:pPr>
              <w:spacing w:beforeAutospacing="1" w:afterAutospacing="1"/>
              <w:jc w:val="center"/>
            </w:pPr>
            <w:r>
              <w:rPr>
                <w:color w:val="000000"/>
                <w:sz w:val="22"/>
              </w:rPr>
              <w:t>4,475.30%</w:t>
            </w:r>
          </w:p>
        </w:tc>
        <w:tc>
          <w:tcPr>
            <w:tcW w:w="1080" w:type="dxa"/>
            <w:vAlign w:val="center"/>
          </w:tcPr>
          <w:p w14:paraId="1BF82D90" w14:textId="77777777" w:rsidR="00254C24" w:rsidRDefault="00057471" w:rsidP="00BB0CD4">
            <w:pPr>
              <w:spacing w:beforeAutospacing="1" w:afterAutospacing="1"/>
              <w:jc w:val="center"/>
            </w:pPr>
            <w:r>
              <w:rPr>
                <w:color w:val="000000"/>
                <w:sz w:val="22"/>
              </w:rPr>
              <w:t>1100</w:t>
            </w:r>
          </w:p>
        </w:tc>
        <w:tc>
          <w:tcPr>
            <w:tcW w:w="990" w:type="dxa"/>
            <w:vAlign w:val="center"/>
          </w:tcPr>
          <w:p w14:paraId="1AF8BADE" w14:textId="77777777" w:rsidR="00254C24" w:rsidRDefault="00057471" w:rsidP="00BB0CD4">
            <w:pPr>
              <w:spacing w:beforeAutospacing="1" w:afterAutospacing="1"/>
              <w:jc w:val="center"/>
            </w:pPr>
            <w:r>
              <w:rPr>
                <w:color w:val="000000"/>
                <w:sz w:val="22"/>
              </w:rPr>
              <w:t>33272</w:t>
            </w:r>
          </w:p>
        </w:tc>
        <w:tc>
          <w:tcPr>
            <w:tcW w:w="1223" w:type="dxa"/>
            <w:vAlign w:val="center"/>
          </w:tcPr>
          <w:p w14:paraId="53258A0C" w14:textId="37FCFCDC" w:rsidR="00254C24" w:rsidRDefault="00057471" w:rsidP="00BB0CD4">
            <w:pPr>
              <w:spacing w:beforeAutospacing="1" w:afterAutospacing="1"/>
              <w:jc w:val="center"/>
            </w:pPr>
            <w:r>
              <w:rPr>
                <w:color w:val="000000"/>
                <w:sz w:val="22"/>
              </w:rPr>
              <w:t>3,024.73%</w:t>
            </w:r>
          </w:p>
        </w:tc>
      </w:tr>
    </w:tbl>
    <w:p w14:paraId="14E1361C" w14:textId="77777777" w:rsidR="00254C24" w:rsidRDefault="0005747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1EE59E06" w14:textId="77777777" w:rsidR="00254C24" w:rsidRDefault="00254C24"/>
    <w:p w14:paraId="7BF09CAC" w14:textId="77777777" w:rsidR="000D5A02" w:rsidRDefault="000D5A02" w:rsidP="000D5A02">
      <w:pPr>
        <w:pStyle w:val="NormalWeb"/>
      </w:pPr>
      <w:r>
        <w:t xml:space="preserve">The </w:t>
      </w:r>
      <w:r w:rsidRPr="00057471">
        <w:rPr>
          <w:bCs/>
        </w:rPr>
        <w:t>Public Service</w:t>
      </w:r>
      <w:r>
        <w:t xml:space="preserve"> category notably surpassed its targets, achieving over </w:t>
      </w:r>
      <w:r w:rsidRPr="00057471">
        <w:rPr>
          <w:bCs/>
        </w:rPr>
        <w:t>3,000%</w:t>
      </w:r>
      <w:r>
        <w:t xml:space="preserve"> of the one-year goal and nearly </w:t>
      </w:r>
      <w:r w:rsidRPr="00057471">
        <w:rPr>
          <w:bCs/>
        </w:rPr>
        <w:t>4,500%</w:t>
      </w:r>
      <w:r>
        <w:t xml:space="preserve"> of the 5-year goal. This reflects the city’s strong partnerships with local nonprofits and service providers, which expanded outreach and support for non-homeless special needs populations.</w:t>
      </w:r>
    </w:p>
    <w:p w14:paraId="58B76161" w14:textId="77777777" w:rsidR="000D5A02" w:rsidRDefault="000D5A02" w:rsidP="000D5A02">
      <w:pPr>
        <w:pStyle w:val="NormalWeb"/>
      </w:pPr>
      <w:r w:rsidRPr="00057471">
        <w:rPr>
          <w:bCs/>
        </w:rPr>
        <w:t>Infrastructure and Public Facilities</w:t>
      </w:r>
      <w:r>
        <w:t xml:space="preserve"> investments also demonstrated exceptional performance. The city assisted over </w:t>
      </w:r>
      <w:r w:rsidRPr="00057471">
        <w:rPr>
          <w:bCs/>
        </w:rPr>
        <w:t>60,000 individuals</w:t>
      </w:r>
      <w:r>
        <w:t xml:space="preserve"> in 2024 alone through infrastructure projects, contributing to a cumulative total of over </w:t>
      </w:r>
      <w:r w:rsidRPr="00057471">
        <w:rPr>
          <w:bCs/>
        </w:rPr>
        <w:t>536,000 persons assisted</w:t>
      </w:r>
      <w:r>
        <w:t xml:space="preserve"> over the 5-year period. These improvements have enhanced accessibility, safety, and quality of life in low- and moderate-income neighborhoods.</w:t>
      </w:r>
    </w:p>
    <w:p w14:paraId="0E1F997D" w14:textId="77777777" w:rsidR="000D5A02" w:rsidRDefault="000D5A02" w:rsidP="000D5A02">
      <w:pPr>
        <w:pStyle w:val="NormalWeb"/>
      </w:pPr>
      <w:r>
        <w:t xml:space="preserve">The </w:t>
      </w:r>
      <w:r w:rsidRPr="00057471">
        <w:rPr>
          <w:bCs/>
        </w:rPr>
        <w:t>Administration</w:t>
      </w:r>
      <w:r>
        <w:t xml:space="preserve"> goal remained consistent, with full completion of planned activities, ensuring effective oversight and compliance throughout the program cycle.</w:t>
      </w:r>
    </w:p>
    <w:p w14:paraId="6D4FFC51" w14:textId="77777777" w:rsidR="000D5A02" w:rsidRDefault="000D5A02" w:rsidP="000D5A02">
      <w:pPr>
        <w:pStyle w:val="NormalWeb"/>
      </w:pPr>
      <w:r>
        <w:t>Overall, Long Branch exceeded its strategic goals in nearly every category. This success is attributed to strong inter-agency coordination, community engagement, and adaptive planning in response to evolving local needs. As the city transitions into a new Consolidated Plan period, these outcomes provide a strong foundation for future investments and policy development.</w:t>
      </w:r>
    </w:p>
    <w:p w14:paraId="31F4BCC1" w14:textId="77777777" w:rsidR="00254C24" w:rsidRDefault="00254C24">
      <w:pPr>
        <w:rPr>
          <w:b/>
          <w:i/>
          <w:sz w:val="26"/>
          <w:szCs w:val="26"/>
        </w:rPr>
        <w:sectPr w:rsidR="00254C24">
          <w:footerReference w:type="default" r:id="rId11"/>
          <w:pgSz w:w="15840" w:h="12240" w:orient="landscape"/>
          <w:pgMar w:top="1440" w:right="1440" w:bottom="1440" w:left="1440" w:header="720" w:footer="720" w:gutter="0"/>
          <w:cols w:space="720"/>
          <w:docGrid w:linePitch="360"/>
        </w:sectPr>
      </w:pPr>
    </w:p>
    <w:p w14:paraId="14F9F9D4" w14:textId="77777777" w:rsidR="00254C24" w:rsidRDefault="00057471">
      <w:pPr>
        <w:pStyle w:val="Heading2"/>
        <w:rPr>
          <w:rFonts w:asciiTheme="minorHAnsi" w:hAnsiTheme="minorHAnsi"/>
          <w:i w:val="0"/>
        </w:rPr>
      </w:pPr>
      <w:bookmarkStart w:id="1" w:name="_Toc309810474"/>
      <w:r>
        <w:rPr>
          <w:rFonts w:asciiTheme="minorHAnsi" w:hAnsiTheme="minorHAnsi"/>
          <w:i w:val="0"/>
        </w:rPr>
        <w:lastRenderedPageBreak/>
        <w:t>CR-10 - Racial and Ethnic composition of families assisted</w:t>
      </w:r>
    </w:p>
    <w:p w14:paraId="54F1F8F4" w14:textId="77777777" w:rsidR="00254C24" w:rsidRDefault="00057471">
      <w:pPr>
        <w:keepNext/>
        <w:widowControl w:val="0"/>
        <w:rPr>
          <w:b/>
          <w:sz w:val="24"/>
          <w:szCs w:val="24"/>
        </w:rPr>
      </w:pPr>
      <w:r>
        <w:rPr>
          <w:b/>
          <w:sz w:val="24"/>
          <w:szCs w:val="24"/>
        </w:rPr>
        <w:t xml:space="preserve">Describe the families assisted (including the racial and ethnic status of families assisted). 91.520(a) </w:t>
      </w:r>
    </w:p>
    <w:p w14:paraId="61E898A8" w14:textId="77777777" w:rsidR="00254C24" w:rsidRDefault="00254C24">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tblGrid>
      <w:tr w:rsidR="00254C24" w14:paraId="05459C06" w14:textId="77777777">
        <w:trPr>
          <w:cantSplit/>
          <w:hidden/>
        </w:trPr>
        <w:tc>
          <w:tcPr>
            <w:tcW w:w="3773" w:type="pct"/>
          </w:tcPr>
          <w:p w14:paraId="33355413" w14:textId="77777777" w:rsidR="00254C24" w:rsidRDefault="00254C24">
            <w:pPr>
              <w:widowControl w:val="0"/>
              <w:spacing w:after="0" w:line="240" w:lineRule="auto"/>
              <w:rPr>
                <w:vanish/>
              </w:rPr>
            </w:pPr>
          </w:p>
        </w:tc>
        <w:tc>
          <w:tcPr>
            <w:tcW w:w="1226" w:type="pct"/>
          </w:tcPr>
          <w:p w14:paraId="1FE73E16" w14:textId="77777777" w:rsidR="00254C24" w:rsidRDefault="00057471">
            <w:pPr>
              <w:spacing w:after="0"/>
              <w:jc w:val="center"/>
              <w:rPr>
                <w:b/>
              </w:rPr>
            </w:pPr>
            <w:r>
              <w:rPr>
                <w:b/>
              </w:rPr>
              <w:t>CDBG</w:t>
            </w:r>
          </w:p>
        </w:tc>
      </w:tr>
      <w:tr w:rsidR="00254C24" w14:paraId="4370E3FA" w14:textId="77777777">
        <w:trPr>
          <w:cantSplit/>
        </w:trPr>
        <w:tc>
          <w:tcPr>
            <w:tcW w:w="4823" w:type="dxa"/>
            <w:vAlign w:val="bottom"/>
          </w:tcPr>
          <w:p w14:paraId="5A7F5756" w14:textId="77777777" w:rsidR="00254C24" w:rsidRDefault="00057471">
            <w:pPr>
              <w:spacing w:beforeAutospacing="1" w:afterAutospacing="1"/>
            </w:pPr>
            <w:r>
              <w:rPr>
                <w:color w:val="000000"/>
              </w:rPr>
              <w:t>White</w:t>
            </w:r>
          </w:p>
        </w:tc>
        <w:tc>
          <w:tcPr>
            <w:tcW w:w="1568" w:type="dxa"/>
            <w:vAlign w:val="bottom"/>
          </w:tcPr>
          <w:p w14:paraId="6246712E" w14:textId="77777777" w:rsidR="00254C24" w:rsidRDefault="00057471">
            <w:pPr>
              <w:spacing w:beforeAutospacing="1" w:afterAutospacing="1"/>
              <w:jc w:val="right"/>
            </w:pPr>
            <w:r>
              <w:rPr>
                <w:color w:val="000000"/>
              </w:rPr>
              <w:t>476</w:t>
            </w:r>
          </w:p>
        </w:tc>
      </w:tr>
      <w:tr w:rsidR="00254C24" w14:paraId="5ACC7F74" w14:textId="77777777">
        <w:trPr>
          <w:cantSplit/>
        </w:trPr>
        <w:tc>
          <w:tcPr>
            <w:tcW w:w="4823" w:type="dxa"/>
            <w:vAlign w:val="bottom"/>
          </w:tcPr>
          <w:p w14:paraId="5CE6C7BC" w14:textId="77777777" w:rsidR="00254C24" w:rsidRDefault="00057471">
            <w:pPr>
              <w:spacing w:beforeAutospacing="1" w:afterAutospacing="1"/>
            </w:pPr>
            <w:r>
              <w:rPr>
                <w:color w:val="000000"/>
              </w:rPr>
              <w:t>Black or African American</w:t>
            </w:r>
          </w:p>
        </w:tc>
        <w:tc>
          <w:tcPr>
            <w:tcW w:w="1568" w:type="dxa"/>
            <w:vAlign w:val="bottom"/>
          </w:tcPr>
          <w:p w14:paraId="1C894FF1" w14:textId="77777777" w:rsidR="00254C24" w:rsidRDefault="00057471">
            <w:pPr>
              <w:spacing w:beforeAutospacing="1" w:afterAutospacing="1"/>
              <w:jc w:val="right"/>
            </w:pPr>
            <w:r>
              <w:rPr>
                <w:color w:val="000000"/>
              </w:rPr>
              <w:t>75</w:t>
            </w:r>
          </w:p>
        </w:tc>
      </w:tr>
      <w:tr w:rsidR="00254C24" w14:paraId="3FE72B5E" w14:textId="77777777">
        <w:trPr>
          <w:cantSplit/>
        </w:trPr>
        <w:tc>
          <w:tcPr>
            <w:tcW w:w="4823" w:type="dxa"/>
            <w:vAlign w:val="bottom"/>
          </w:tcPr>
          <w:p w14:paraId="72427A1A" w14:textId="77777777" w:rsidR="00254C24" w:rsidRDefault="00057471">
            <w:pPr>
              <w:spacing w:beforeAutospacing="1" w:afterAutospacing="1"/>
            </w:pPr>
            <w:r>
              <w:rPr>
                <w:color w:val="000000"/>
              </w:rPr>
              <w:t>Asian</w:t>
            </w:r>
          </w:p>
        </w:tc>
        <w:tc>
          <w:tcPr>
            <w:tcW w:w="1568" w:type="dxa"/>
            <w:vAlign w:val="bottom"/>
          </w:tcPr>
          <w:p w14:paraId="7B532609" w14:textId="77777777" w:rsidR="00254C24" w:rsidRDefault="00057471">
            <w:pPr>
              <w:spacing w:beforeAutospacing="1" w:afterAutospacing="1"/>
              <w:jc w:val="right"/>
            </w:pPr>
            <w:r>
              <w:rPr>
                <w:color w:val="000000"/>
              </w:rPr>
              <w:t>2</w:t>
            </w:r>
          </w:p>
        </w:tc>
      </w:tr>
      <w:tr w:rsidR="00254C24" w14:paraId="7B093D65" w14:textId="77777777">
        <w:trPr>
          <w:cantSplit/>
        </w:trPr>
        <w:tc>
          <w:tcPr>
            <w:tcW w:w="4823" w:type="dxa"/>
            <w:vAlign w:val="bottom"/>
          </w:tcPr>
          <w:p w14:paraId="227797FB" w14:textId="77777777" w:rsidR="00254C24" w:rsidRDefault="00057471">
            <w:pPr>
              <w:spacing w:beforeAutospacing="1" w:afterAutospacing="1"/>
            </w:pPr>
            <w:r>
              <w:rPr>
                <w:color w:val="000000"/>
              </w:rPr>
              <w:t>American Indian or American Native</w:t>
            </w:r>
          </w:p>
        </w:tc>
        <w:tc>
          <w:tcPr>
            <w:tcW w:w="1568" w:type="dxa"/>
            <w:vAlign w:val="bottom"/>
          </w:tcPr>
          <w:p w14:paraId="610E4210" w14:textId="77777777" w:rsidR="00254C24" w:rsidRDefault="00057471">
            <w:pPr>
              <w:spacing w:beforeAutospacing="1" w:afterAutospacing="1"/>
              <w:jc w:val="right"/>
            </w:pPr>
            <w:r>
              <w:rPr>
                <w:color w:val="000000"/>
              </w:rPr>
              <w:t>0</w:t>
            </w:r>
          </w:p>
        </w:tc>
      </w:tr>
      <w:tr w:rsidR="00254C24" w14:paraId="6FF27DFF" w14:textId="77777777">
        <w:trPr>
          <w:cantSplit/>
        </w:trPr>
        <w:tc>
          <w:tcPr>
            <w:tcW w:w="4823" w:type="dxa"/>
            <w:vAlign w:val="bottom"/>
          </w:tcPr>
          <w:p w14:paraId="2C8546E0" w14:textId="77777777" w:rsidR="00254C24" w:rsidRDefault="00057471">
            <w:pPr>
              <w:spacing w:beforeAutospacing="1" w:afterAutospacing="1"/>
            </w:pPr>
            <w:r>
              <w:rPr>
                <w:color w:val="000000"/>
              </w:rPr>
              <w:t>Native Hawaiian or Other Pacific Islander</w:t>
            </w:r>
          </w:p>
        </w:tc>
        <w:tc>
          <w:tcPr>
            <w:tcW w:w="1568" w:type="dxa"/>
            <w:vAlign w:val="bottom"/>
          </w:tcPr>
          <w:p w14:paraId="0FFCCA88" w14:textId="77777777" w:rsidR="00254C24" w:rsidRDefault="00057471">
            <w:pPr>
              <w:spacing w:beforeAutospacing="1" w:afterAutospacing="1"/>
              <w:jc w:val="right"/>
            </w:pPr>
            <w:r>
              <w:rPr>
                <w:color w:val="000000"/>
              </w:rPr>
              <w:t>0</w:t>
            </w:r>
          </w:p>
        </w:tc>
      </w:tr>
    </w:tbl>
    <w:p w14:paraId="44D8A17D" w14:textId="77777777" w:rsidR="00254C24" w:rsidRDefault="00254C24">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254C24" w14:paraId="7452A126" w14:textId="77777777">
        <w:trPr>
          <w:cantSplit/>
          <w:hidden/>
        </w:trPr>
        <w:tc>
          <w:tcPr>
            <w:tcW w:w="3761" w:type="pct"/>
          </w:tcPr>
          <w:p w14:paraId="45B80A02" w14:textId="77777777" w:rsidR="00254C24" w:rsidRDefault="00254C24">
            <w:pPr>
              <w:widowControl w:val="0"/>
              <w:spacing w:after="0" w:line="240" w:lineRule="auto"/>
              <w:rPr>
                <w:vanish/>
              </w:rPr>
            </w:pPr>
          </w:p>
        </w:tc>
        <w:tc>
          <w:tcPr>
            <w:tcW w:w="1239" w:type="pct"/>
            <w:gridSpan w:val="2"/>
          </w:tcPr>
          <w:p w14:paraId="4064C126" w14:textId="77777777" w:rsidR="00254C24" w:rsidRDefault="00254C24">
            <w:pPr>
              <w:widowControl w:val="0"/>
              <w:spacing w:after="0" w:line="240" w:lineRule="auto"/>
              <w:jc w:val="center"/>
              <w:rPr>
                <w:b/>
                <w:vanish/>
              </w:rPr>
            </w:pPr>
          </w:p>
        </w:tc>
      </w:tr>
      <w:tr w:rsidR="00254C24" w14:paraId="21C0DA4A" w14:textId="77777777">
        <w:trPr>
          <w:gridAfter w:val="1"/>
          <w:wAfter w:w="21" w:type="dxa"/>
          <w:cantSplit/>
        </w:trPr>
        <w:tc>
          <w:tcPr>
            <w:tcW w:w="4823" w:type="dxa"/>
            <w:vAlign w:val="bottom"/>
          </w:tcPr>
          <w:p w14:paraId="20FD208C" w14:textId="77777777" w:rsidR="00254C24" w:rsidRDefault="00057471">
            <w:pPr>
              <w:spacing w:beforeAutospacing="1" w:afterAutospacing="1"/>
            </w:pPr>
            <w:r>
              <w:rPr>
                <w:b/>
                <w:color w:val="000000"/>
              </w:rPr>
              <w:t>Total</w:t>
            </w:r>
          </w:p>
        </w:tc>
        <w:tc>
          <w:tcPr>
            <w:tcW w:w="1568" w:type="dxa"/>
            <w:vAlign w:val="bottom"/>
          </w:tcPr>
          <w:p w14:paraId="29D66A83" w14:textId="77777777" w:rsidR="00254C24" w:rsidRDefault="00057471">
            <w:pPr>
              <w:spacing w:beforeAutospacing="1" w:afterAutospacing="1"/>
              <w:jc w:val="right"/>
            </w:pPr>
            <w:r>
              <w:rPr>
                <w:b/>
                <w:color w:val="000000"/>
              </w:rPr>
              <w:t>553</w:t>
            </w:r>
          </w:p>
        </w:tc>
      </w:tr>
    </w:tbl>
    <w:p w14:paraId="7E831348" w14:textId="77777777" w:rsidR="00254C24" w:rsidRDefault="00254C24">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254C24" w14:paraId="64EFE771" w14:textId="77777777">
        <w:trPr>
          <w:cantSplit/>
          <w:hidden/>
        </w:trPr>
        <w:tc>
          <w:tcPr>
            <w:tcW w:w="3761" w:type="pct"/>
          </w:tcPr>
          <w:p w14:paraId="0587BF86" w14:textId="77777777" w:rsidR="00254C24" w:rsidRDefault="00254C24">
            <w:pPr>
              <w:widowControl w:val="0"/>
              <w:spacing w:after="0" w:line="240" w:lineRule="auto"/>
              <w:rPr>
                <w:vanish/>
              </w:rPr>
            </w:pPr>
          </w:p>
        </w:tc>
        <w:tc>
          <w:tcPr>
            <w:tcW w:w="1239" w:type="pct"/>
            <w:gridSpan w:val="2"/>
          </w:tcPr>
          <w:p w14:paraId="43CB2FA7" w14:textId="77777777" w:rsidR="00254C24" w:rsidRDefault="00254C24">
            <w:pPr>
              <w:widowControl w:val="0"/>
              <w:spacing w:after="0" w:line="240" w:lineRule="auto"/>
              <w:jc w:val="center"/>
              <w:rPr>
                <w:b/>
                <w:vanish/>
              </w:rPr>
            </w:pPr>
          </w:p>
        </w:tc>
      </w:tr>
      <w:tr w:rsidR="00254C24" w14:paraId="7E421C7E" w14:textId="77777777">
        <w:trPr>
          <w:gridAfter w:val="1"/>
          <w:wAfter w:w="21" w:type="dxa"/>
          <w:cantSplit/>
        </w:trPr>
        <w:tc>
          <w:tcPr>
            <w:tcW w:w="4823" w:type="dxa"/>
            <w:vAlign w:val="bottom"/>
          </w:tcPr>
          <w:p w14:paraId="628EC8B8" w14:textId="77777777" w:rsidR="00254C24" w:rsidRDefault="00057471">
            <w:pPr>
              <w:spacing w:beforeAutospacing="1" w:afterAutospacing="1"/>
            </w:pPr>
            <w:r>
              <w:rPr>
                <w:color w:val="000000"/>
              </w:rPr>
              <w:t>Hispanic</w:t>
            </w:r>
          </w:p>
        </w:tc>
        <w:tc>
          <w:tcPr>
            <w:tcW w:w="1568" w:type="dxa"/>
            <w:vAlign w:val="bottom"/>
          </w:tcPr>
          <w:p w14:paraId="1AB71F8D" w14:textId="77777777" w:rsidR="00254C24" w:rsidRDefault="00057471">
            <w:pPr>
              <w:spacing w:beforeAutospacing="1" w:afterAutospacing="1"/>
              <w:jc w:val="right"/>
            </w:pPr>
            <w:r>
              <w:rPr>
                <w:color w:val="000000"/>
              </w:rPr>
              <w:t>435</w:t>
            </w:r>
          </w:p>
        </w:tc>
      </w:tr>
      <w:tr w:rsidR="00254C24" w14:paraId="2F9E56D1" w14:textId="77777777">
        <w:trPr>
          <w:gridAfter w:val="1"/>
          <w:wAfter w:w="21" w:type="dxa"/>
          <w:cantSplit/>
        </w:trPr>
        <w:tc>
          <w:tcPr>
            <w:tcW w:w="4823" w:type="dxa"/>
            <w:vAlign w:val="bottom"/>
          </w:tcPr>
          <w:p w14:paraId="494BF76C" w14:textId="77777777" w:rsidR="00254C24" w:rsidRDefault="00057471">
            <w:pPr>
              <w:spacing w:beforeAutospacing="1" w:afterAutospacing="1"/>
            </w:pPr>
            <w:r>
              <w:rPr>
                <w:color w:val="000000"/>
              </w:rPr>
              <w:t>Not Hispanic</w:t>
            </w:r>
          </w:p>
        </w:tc>
        <w:tc>
          <w:tcPr>
            <w:tcW w:w="1568" w:type="dxa"/>
            <w:vAlign w:val="bottom"/>
          </w:tcPr>
          <w:p w14:paraId="025FC893" w14:textId="77777777" w:rsidR="00254C24" w:rsidRDefault="00057471">
            <w:pPr>
              <w:spacing w:beforeAutospacing="1" w:afterAutospacing="1"/>
              <w:jc w:val="right"/>
            </w:pPr>
            <w:r>
              <w:rPr>
                <w:color w:val="000000"/>
              </w:rPr>
              <w:t>241</w:t>
            </w:r>
          </w:p>
        </w:tc>
      </w:tr>
    </w:tbl>
    <w:p w14:paraId="6875583B" w14:textId="77777777" w:rsidR="00254C24" w:rsidRDefault="00254C24">
      <w:pPr>
        <w:pStyle w:val="NoSpacing"/>
        <w:rPr>
          <w:vanish/>
        </w:rPr>
      </w:pPr>
    </w:p>
    <w:p w14:paraId="78C6CB23" w14:textId="77777777" w:rsidR="00254C24" w:rsidRDefault="00254C24">
      <w:pPr>
        <w:pStyle w:val="NoSpacing"/>
        <w:rPr>
          <w:vanish/>
        </w:rPr>
      </w:pPr>
    </w:p>
    <w:p w14:paraId="7D6BF9A5" w14:textId="77777777" w:rsidR="00254C24" w:rsidRDefault="00254C24">
      <w:pPr>
        <w:pStyle w:val="NoSpacing"/>
        <w:rPr>
          <w:vanish/>
        </w:rPr>
      </w:pPr>
    </w:p>
    <w:p w14:paraId="32551991" w14:textId="77777777" w:rsidR="00254C24" w:rsidRDefault="00254C24">
      <w:pPr>
        <w:pStyle w:val="NoSpacing"/>
        <w:rPr>
          <w:vanish/>
        </w:rPr>
      </w:pPr>
    </w:p>
    <w:p w14:paraId="05C29570" w14:textId="77777777" w:rsidR="00254C24" w:rsidRDefault="00254C24">
      <w:pPr>
        <w:pStyle w:val="NoSpacing"/>
        <w:rPr>
          <w:vanish/>
        </w:rPr>
      </w:pPr>
    </w:p>
    <w:p w14:paraId="14EBA14A" w14:textId="77777777" w:rsidR="00254C24" w:rsidRDefault="00254C24">
      <w:pPr>
        <w:pStyle w:val="NoSpacing"/>
        <w:rPr>
          <w:vanish/>
        </w:rPr>
      </w:pPr>
    </w:p>
    <w:p w14:paraId="2E973ED1" w14:textId="77777777" w:rsidR="00254C24" w:rsidRDefault="00254C24">
      <w:pPr>
        <w:pStyle w:val="NoSpacing"/>
        <w:rPr>
          <w:vanish/>
        </w:rPr>
      </w:pPr>
    </w:p>
    <w:p w14:paraId="7B51B4D5" w14:textId="77777777" w:rsidR="00254C24" w:rsidRDefault="00254C24">
      <w:pPr>
        <w:pStyle w:val="NoSpacing"/>
        <w:rPr>
          <w:vanish/>
        </w:rPr>
      </w:pPr>
    </w:p>
    <w:p w14:paraId="08935894" w14:textId="77777777" w:rsidR="00254C24" w:rsidRDefault="00254C24">
      <w:pPr>
        <w:pStyle w:val="NoSpacing"/>
        <w:rPr>
          <w:vanish/>
        </w:rPr>
      </w:pPr>
    </w:p>
    <w:p w14:paraId="17B9C95C" w14:textId="77777777" w:rsidR="00254C24" w:rsidRDefault="00254C24">
      <w:pPr>
        <w:pStyle w:val="NoSpacing"/>
        <w:rPr>
          <w:vanish/>
        </w:rPr>
      </w:pPr>
    </w:p>
    <w:p w14:paraId="4D6E8C9D" w14:textId="77777777" w:rsidR="00254C24" w:rsidRDefault="00254C24">
      <w:pPr>
        <w:pStyle w:val="NoSpacing"/>
        <w:rPr>
          <w:vanish/>
        </w:rPr>
      </w:pPr>
    </w:p>
    <w:p w14:paraId="251533BC" w14:textId="77777777" w:rsidR="00254C24" w:rsidRDefault="00254C24">
      <w:pPr>
        <w:pStyle w:val="NoSpacing"/>
        <w:rPr>
          <w:vanish/>
        </w:rPr>
      </w:pPr>
    </w:p>
    <w:p w14:paraId="396E7ED3" w14:textId="77777777" w:rsidR="00254C24" w:rsidRDefault="00254C24">
      <w:pPr>
        <w:pStyle w:val="NoSpacing"/>
        <w:rPr>
          <w:vanish/>
        </w:rPr>
      </w:pPr>
    </w:p>
    <w:p w14:paraId="5F044216" w14:textId="77777777" w:rsidR="00254C24" w:rsidRDefault="00254C24">
      <w:pPr>
        <w:pStyle w:val="NoSpacing"/>
        <w:rPr>
          <w:vanish/>
        </w:rPr>
      </w:pPr>
    </w:p>
    <w:p w14:paraId="4168333D" w14:textId="77777777" w:rsidR="00254C24" w:rsidRDefault="00254C24">
      <w:pPr>
        <w:pStyle w:val="NoSpacing"/>
      </w:pPr>
    </w:p>
    <w:p w14:paraId="55827E8E" w14:textId="77777777" w:rsidR="00254C24" w:rsidRDefault="00254C24">
      <w:pPr>
        <w:pStyle w:val="NoSpacing"/>
        <w:rPr>
          <w:vanish/>
        </w:rPr>
      </w:pPr>
    </w:p>
    <w:p w14:paraId="0A3DEDCC" w14:textId="77777777" w:rsidR="00254C24" w:rsidRDefault="00254C24">
      <w:pPr>
        <w:pStyle w:val="NoSpacing"/>
        <w:rPr>
          <w:vanish/>
        </w:rPr>
      </w:pPr>
    </w:p>
    <w:p w14:paraId="04D86748" w14:textId="77777777" w:rsidR="00254C24" w:rsidRDefault="00254C24">
      <w:pPr>
        <w:pStyle w:val="NoSpacing"/>
        <w:rPr>
          <w:vanish/>
        </w:rPr>
      </w:pPr>
    </w:p>
    <w:p w14:paraId="7CFEE329" w14:textId="77777777" w:rsidR="00254C24" w:rsidRDefault="00254C24">
      <w:pPr>
        <w:pStyle w:val="NoSpacing"/>
        <w:rPr>
          <w:vanish/>
        </w:rPr>
      </w:pPr>
    </w:p>
    <w:p w14:paraId="595D89F7" w14:textId="77777777" w:rsidR="00254C24" w:rsidRDefault="00254C24">
      <w:pPr>
        <w:pStyle w:val="NoSpacing"/>
        <w:rPr>
          <w:vanish/>
        </w:rPr>
      </w:pPr>
    </w:p>
    <w:p w14:paraId="74829C1F" w14:textId="77777777" w:rsidR="00254C24" w:rsidRDefault="00254C24">
      <w:pPr>
        <w:pStyle w:val="NoSpacing"/>
        <w:rPr>
          <w:vanish/>
        </w:rPr>
      </w:pPr>
    </w:p>
    <w:p w14:paraId="51AC57D5" w14:textId="77777777" w:rsidR="00254C24" w:rsidRDefault="00254C24">
      <w:pPr>
        <w:pStyle w:val="NoSpacing"/>
        <w:rPr>
          <w:vanish/>
        </w:rPr>
      </w:pPr>
    </w:p>
    <w:p w14:paraId="5BB268E9" w14:textId="77777777" w:rsidR="00254C24" w:rsidRDefault="00254C24">
      <w:pPr>
        <w:pStyle w:val="NoSpacing"/>
        <w:rPr>
          <w:vanish/>
        </w:rPr>
      </w:pPr>
    </w:p>
    <w:p w14:paraId="666F8703" w14:textId="77777777" w:rsidR="00254C24" w:rsidRDefault="00254C24">
      <w:pPr>
        <w:pStyle w:val="NoSpacing"/>
        <w:rPr>
          <w:vanish/>
        </w:rPr>
      </w:pPr>
    </w:p>
    <w:p w14:paraId="5F9B6C28" w14:textId="77777777" w:rsidR="00254C24" w:rsidRDefault="00254C24">
      <w:pPr>
        <w:pStyle w:val="NoSpacing"/>
        <w:rPr>
          <w:vanish/>
        </w:rPr>
      </w:pPr>
    </w:p>
    <w:p w14:paraId="68913436" w14:textId="77777777" w:rsidR="00254C24" w:rsidRDefault="00254C24">
      <w:pPr>
        <w:keepNext/>
        <w:widowControl w:val="0"/>
        <w:spacing w:after="0" w:line="240" w:lineRule="auto"/>
        <w:rPr>
          <w:b/>
          <w:vanish/>
          <w:sz w:val="24"/>
          <w:szCs w:val="24"/>
        </w:rPr>
      </w:pPr>
    </w:p>
    <w:p w14:paraId="258CFB39" w14:textId="77777777" w:rsidR="00254C24" w:rsidRDefault="00254C24">
      <w:pPr>
        <w:pStyle w:val="NoSpacing"/>
        <w:rPr>
          <w:vanish/>
        </w:rPr>
      </w:pPr>
    </w:p>
    <w:p w14:paraId="2C8E79FF" w14:textId="77777777" w:rsidR="00254C24" w:rsidRDefault="00254C24">
      <w:pPr>
        <w:pStyle w:val="NoSpacing"/>
        <w:rPr>
          <w:vanish/>
        </w:rPr>
      </w:pPr>
    </w:p>
    <w:p w14:paraId="70EAFFA1" w14:textId="77777777" w:rsidR="00254C24" w:rsidRDefault="00254C24">
      <w:pPr>
        <w:pStyle w:val="NoSpacing"/>
        <w:rPr>
          <w:vanish/>
        </w:rPr>
      </w:pPr>
    </w:p>
    <w:p w14:paraId="025DB515" w14:textId="77777777" w:rsidR="00254C24" w:rsidRDefault="00254C24">
      <w:pPr>
        <w:pStyle w:val="NoSpacing"/>
        <w:rPr>
          <w:vanish/>
        </w:rPr>
      </w:pPr>
    </w:p>
    <w:p w14:paraId="5FF8A831" w14:textId="77777777" w:rsidR="00254C24" w:rsidRDefault="00254C24">
      <w:pPr>
        <w:pStyle w:val="NoSpacing"/>
        <w:rPr>
          <w:vanish/>
        </w:rPr>
      </w:pPr>
    </w:p>
    <w:p w14:paraId="6159372B" w14:textId="77777777" w:rsidR="00254C24" w:rsidRDefault="00254C24">
      <w:pPr>
        <w:pStyle w:val="NoSpacing"/>
        <w:rPr>
          <w:vanish/>
        </w:rPr>
      </w:pPr>
    </w:p>
    <w:p w14:paraId="36A65586" w14:textId="77777777" w:rsidR="00254C24" w:rsidRDefault="00254C24">
      <w:pPr>
        <w:pStyle w:val="NoSpacing"/>
        <w:rPr>
          <w:vanish/>
        </w:rPr>
      </w:pPr>
    </w:p>
    <w:p w14:paraId="262BB48C" w14:textId="77777777" w:rsidR="00254C24" w:rsidRDefault="00254C24">
      <w:pPr>
        <w:pStyle w:val="NoSpacing"/>
        <w:rPr>
          <w:vanish/>
        </w:rPr>
      </w:pPr>
    </w:p>
    <w:p w14:paraId="75BA218B" w14:textId="77777777" w:rsidR="00254C24" w:rsidRDefault="00254C24">
      <w:pPr>
        <w:pStyle w:val="NoSpacing"/>
        <w:rPr>
          <w:vanish/>
        </w:rPr>
      </w:pPr>
    </w:p>
    <w:p w14:paraId="00A5C4AA" w14:textId="77777777" w:rsidR="00254C24" w:rsidRDefault="00254C24">
      <w:pPr>
        <w:pStyle w:val="NoSpacing"/>
        <w:rPr>
          <w:vanish/>
        </w:rPr>
      </w:pPr>
    </w:p>
    <w:p w14:paraId="72766846" w14:textId="77777777" w:rsidR="00254C24" w:rsidRDefault="00254C24">
      <w:pPr>
        <w:pStyle w:val="NoSpacing"/>
        <w:rPr>
          <w:vanish/>
        </w:rPr>
      </w:pPr>
    </w:p>
    <w:p w14:paraId="438B4050" w14:textId="77777777" w:rsidR="00254C24" w:rsidRDefault="00254C24">
      <w:pPr>
        <w:pStyle w:val="NoSpacing"/>
        <w:rPr>
          <w:vanish/>
        </w:rPr>
      </w:pPr>
    </w:p>
    <w:p w14:paraId="502F1E3E" w14:textId="77777777" w:rsidR="00254C24" w:rsidRDefault="00254C24">
      <w:pPr>
        <w:pStyle w:val="NoSpacing"/>
        <w:rPr>
          <w:vanish/>
        </w:rPr>
      </w:pPr>
    </w:p>
    <w:p w14:paraId="3AA820EB" w14:textId="77777777" w:rsidR="00254C24" w:rsidRDefault="00254C24">
      <w:pPr>
        <w:pStyle w:val="NoSpacing"/>
        <w:rPr>
          <w:vanish/>
        </w:rPr>
      </w:pPr>
    </w:p>
    <w:p w14:paraId="5F039C87" w14:textId="77777777" w:rsidR="00254C24" w:rsidRDefault="00254C24">
      <w:pPr>
        <w:pStyle w:val="NoSpacing"/>
        <w:rPr>
          <w:vanish/>
        </w:rPr>
      </w:pPr>
    </w:p>
    <w:p w14:paraId="2898D9FC" w14:textId="77777777" w:rsidR="00254C24" w:rsidRDefault="00254C24">
      <w:pPr>
        <w:pStyle w:val="NoSpacing"/>
        <w:rPr>
          <w:vanish/>
        </w:rPr>
      </w:pPr>
    </w:p>
    <w:p w14:paraId="0AEF6474" w14:textId="77777777" w:rsidR="00254C24" w:rsidRDefault="00254C24">
      <w:pPr>
        <w:pStyle w:val="NoSpacing"/>
        <w:rPr>
          <w:vanish/>
        </w:rPr>
      </w:pPr>
    </w:p>
    <w:p w14:paraId="1CED69B2" w14:textId="77777777" w:rsidR="00254C24" w:rsidRDefault="00254C24">
      <w:pPr>
        <w:pStyle w:val="NoSpacing"/>
        <w:rPr>
          <w:vanish/>
        </w:rPr>
      </w:pPr>
    </w:p>
    <w:p w14:paraId="5AFC83F1" w14:textId="77777777" w:rsidR="00254C24" w:rsidRDefault="00254C24">
      <w:pPr>
        <w:pStyle w:val="NoSpacing"/>
        <w:rPr>
          <w:vanish/>
        </w:rPr>
      </w:pPr>
    </w:p>
    <w:p w14:paraId="245E89D2" w14:textId="77777777" w:rsidR="00254C24" w:rsidRDefault="00254C24">
      <w:pPr>
        <w:pStyle w:val="NoSpacing"/>
        <w:rPr>
          <w:vanish/>
        </w:rPr>
      </w:pPr>
    </w:p>
    <w:p w14:paraId="59DA0BE3" w14:textId="77777777" w:rsidR="00254C24" w:rsidRDefault="00254C24">
      <w:pPr>
        <w:pStyle w:val="NoSpacing"/>
        <w:rPr>
          <w:vanish/>
        </w:rPr>
      </w:pPr>
    </w:p>
    <w:p w14:paraId="1D06F210" w14:textId="77777777" w:rsidR="00254C24" w:rsidRDefault="00254C24">
      <w:pPr>
        <w:pStyle w:val="NoSpacing"/>
        <w:rPr>
          <w:vanish/>
        </w:rPr>
      </w:pPr>
    </w:p>
    <w:p w14:paraId="2E810730" w14:textId="77777777" w:rsidR="00254C24" w:rsidRDefault="00254C24">
      <w:pPr>
        <w:pStyle w:val="NoSpacing"/>
        <w:rPr>
          <w:vanish/>
        </w:rPr>
      </w:pPr>
    </w:p>
    <w:p w14:paraId="26FD78D5" w14:textId="77777777" w:rsidR="00254C24" w:rsidRDefault="00254C24">
      <w:pPr>
        <w:keepNext/>
        <w:widowControl w:val="0"/>
        <w:rPr>
          <w:rFonts w:asciiTheme="minorHAnsi" w:hAnsiTheme="minorHAnsi"/>
          <w:b/>
          <w:sz w:val="20"/>
          <w:szCs w:val="20"/>
        </w:rPr>
      </w:pPr>
    </w:p>
    <w:p w14:paraId="6511464A" w14:textId="77777777" w:rsidR="00254C24" w:rsidRDefault="00254C24">
      <w:pPr>
        <w:keepNext/>
        <w:widowControl w:val="0"/>
        <w:rPr>
          <w:rFonts w:asciiTheme="minorHAnsi" w:hAnsiTheme="minorHAnsi"/>
          <w:b/>
          <w:sz w:val="20"/>
          <w:szCs w:val="20"/>
        </w:rPr>
      </w:pPr>
    </w:p>
    <w:p w14:paraId="62C26696" w14:textId="77777777" w:rsidR="00254C24" w:rsidRDefault="00057471">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34648EB9" w14:textId="77777777" w:rsidR="000D5A02" w:rsidRPr="000D5A02" w:rsidRDefault="000D5A02" w:rsidP="000D5A02">
      <w:pPr>
        <w:spacing w:before="100" w:beforeAutospacing="1" w:after="100" w:afterAutospacing="1" w:line="240" w:lineRule="auto"/>
        <w:rPr>
          <w:rFonts w:ascii="Times New Roman" w:eastAsia="Times New Roman" w:hAnsi="Times New Roman"/>
          <w:sz w:val="24"/>
          <w:szCs w:val="24"/>
        </w:rPr>
      </w:pPr>
      <w:r w:rsidRPr="000D5A02">
        <w:rPr>
          <w:rFonts w:ascii="Times New Roman" w:eastAsia="Times New Roman" w:hAnsi="Times New Roman"/>
          <w:sz w:val="24"/>
          <w:szCs w:val="24"/>
        </w:rPr>
        <w:t xml:space="preserve">In Program Year 2024, the City of Long Branch </w:t>
      </w:r>
      <w:proofErr w:type="gramStart"/>
      <w:r w:rsidRPr="000D5A02">
        <w:rPr>
          <w:rFonts w:ascii="Times New Roman" w:eastAsia="Times New Roman" w:hAnsi="Times New Roman"/>
          <w:sz w:val="24"/>
          <w:szCs w:val="24"/>
        </w:rPr>
        <w:t>provided assistance to</w:t>
      </w:r>
      <w:proofErr w:type="gramEnd"/>
      <w:r w:rsidRPr="000D5A02">
        <w:rPr>
          <w:rFonts w:ascii="Times New Roman" w:eastAsia="Times New Roman" w:hAnsi="Times New Roman"/>
          <w:sz w:val="24"/>
          <w:szCs w:val="24"/>
        </w:rPr>
        <w:t xml:space="preserve"> a total of </w:t>
      </w:r>
      <w:r w:rsidRPr="00057471">
        <w:rPr>
          <w:rFonts w:ascii="Times New Roman" w:eastAsia="Times New Roman" w:hAnsi="Times New Roman"/>
          <w:bCs/>
          <w:sz w:val="24"/>
          <w:szCs w:val="24"/>
        </w:rPr>
        <w:t>553 individuals</w:t>
      </w:r>
      <w:r w:rsidRPr="000D5A02">
        <w:rPr>
          <w:rFonts w:ascii="Times New Roman" w:eastAsia="Times New Roman" w:hAnsi="Times New Roman"/>
          <w:sz w:val="24"/>
          <w:szCs w:val="24"/>
        </w:rPr>
        <w:t xml:space="preserve"> through CDBG-funded activities. The racial and ethnic composition of those served reflects the city’s diverse population and its commitment to equitable service delivery.</w:t>
      </w:r>
    </w:p>
    <w:p w14:paraId="25C9E082" w14:textId="77777777" w:rsidR="000D5A02" w:rsidRPr="000D5A02" w:rsidRDefault="000D5A02" w:rsidP="000D5A02">
      <w:pPr>
        <w:spacing w:before="100" w:beforeAutospacing="1" w:after="100" w:afterAutospacing="1" w:line="240" w:lineRule="auto"/>
        <w:rPr>
          <w:rFonts w:ascii="Times New Roman" w:eastAsia="Times New Roman" w:hAnsi="Times New Roman"/>
          <w:sz w:val="24"/>
          <w:szCs w:val="24"/>
        </w:rPr>
      </w:pPr>
      <w:r w:rsidRPr="000D5A02">
        <w:rPr>
          <w:rFonts w:ascii="Times New Roman" w:eastAsia="Times New Roman" w:hAnsi="Times New Roman"/>
          <w:sz w:val="24"/>
          <w:szCs w:val="24"/>
        </w:rPr>
        <w:t>These figures demonstrate that a significant portion of CDBG beneficiaries in 2024 were Hispanic, aligning with the demographic trends in Long Branch’s low- and moderate-income neighborhoods. The city continues to prioritize outreach and program accessibility for historically underserved racial and ethnic groups.</w:t>
      </w:r>
    </w:p>
    <w:p w14:paraId="4CB6B331" w14:textId="77777777" w:rsidR="000D5A02" w:rsidRPr="000D5A02" w:rsidRDefault="000D5A02" w:rsidP="000D5A02">
      <w:pPr>
        <w:spacing w:before="100" w:beforeAutospacing="1" w:after="100" w:afterAutospacing="1" w:line="240" w:lineRule="auto"/>
        <w:rPr>
          <w:rFonts w:ascii="Times New Roman" w:eastAsia="Times New Roman" w:hAnsi="Times New Roman"/>
          <w:sz w:val="24"/>
          <w:szCs w:val="24"/>
        </w:rPr>
      </w:pPr>
      <w:r w:rsidRPr="000D5A02">
        <w:rPr>
          <w:rFonts w:ascii="Times New Roman" w:eastAsia="Times New Roman" w:hAnsi="Times New Roman"/>
          <w:sz w:val="24"/>
          <w:szCs w:val="24"/>
        </w:rPr>
        <w:t>Over the 5-year Consolidated Plan period, Long Branch has consistently ensured that CDBG-funded programs are inclusive and responsive to the needs of its diverse community. The final year’s data reaffirms the city’s progress in reaching populations most in need, particularly within Hispanic and minority communities.</w:t>
      </w:r>
    </w:p>
    <w:p w14:paraId="36C18281" w14:textId="77777777" w:rsidR="00254C24" w:rsidRDefault="00254C24">
      <w:pPr>
        <w:widowControl w:val="0"/>
      </w:pPr>
    </w:p>
    <w:p w14:paraId="38B8687A" w14:textId="77777777" w:rsidR="00254C24" w:rsidRDefault="00254C24">
      <w:pPr>
        <w:widowControl w:val="0"/>
      </w:pPr>
    </w:p>
    <w:p w14:paraId="158CF374" w14:textId="77777777" w:rsidR="00254C24" w:rsidRDefault="00254C24">
      <w:pPr>
        <w:sectPr w:rsidR="00254C24">
          <w:pgSz w:w="12240" w:h="15840" w:code="1"/>
          <w:pgMar w:top="1440" w:right="1440" w:bottom="1440" w:left="1440" w:header="720" w:footer="720" w:gutter="0"/>
          <w:cols w:space="720"/>
          <w:docGrid w:linePitch="360"/>
        </w:sectPr>
      </w:pPr>
    </w:p>
    <w:bookmarkEnd w:id="1"/>
    <w:p w14:paraId="5B646887" w14:textId="77777777" w:rsidR="00254C24" w:rsidRDefault="00057471">
      <w:pPr>
        <w:pStyle w:val="Heading2"/>
        <w:rPr>
          <w:rFonts w:ascii="Calibri" w:hAnsi="Calibri"/>
          <w:i w:val="0"/>
        </w:rPr>
      </w:pPr>
      <w:r>
        <w:rPr>
          <w:rFonts w:ascii="Calibri" w:hAnsi="Calibri"/>
          <w:i w:val="0"/>
        </w:rPr>
        <w:lastRenderedPageBreak/>
        <w:t>CR-15 - Resources and Investments 91.520(a)</w:t>
      </w:r>
    </w:p>
    <w:p w14:paraId="360AF682" w14:textId="77777777" w:rsidR="00254C24" w:rsidRDefault="00057471">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254C24" w14:paraId="1BD9CC50" w14:textId="77777777">
        <w:trPr>
          <w:cantSplit/>
        </w:trPr>
        <w:tc>
          <w:tcPr>
            <w:tcW w:w="2394" w:type="dxa"/>
          </w:tcPr>
          <w:p w14:paraId="5D9FAF8B" w14:textId="77777777" w:rsidR="00254C24" w:rsidRDefault="00057471">
            <w:pPr>
              <w:keepNext/>
              <w:widowControl w:val="0"/>
              <w:spacing w:after="0" w:line="240" w:lineRule="auto"/>
              <w:jc w:val="center"/>
              <w:rPr>
                <w:rFonts w:cs="Arial"/>
                <w:b/>
              </w:rPr>
            </w:pPr>
            <w:r>
              <w:rPr>
                <w:rFonts w:cs="Arial"/>
                <w:b/>
              </w:rPr>
              <w:t>Source of Funds</w:t>
            </w:r>
          </w:p>
        </w:tc>
        <w:tc>
          <w:tcPr>
            <w:tcW w:w="2394" w:type="dxa"/>
          </w:tcPr>
          <w:p w14:paraId="521E4AED" w14:textId="77777777" w:rsidR="00254C24" w:rsidRDefault="00057471">
            <w:pPr>
              <w:keepNext/>
              <w:widowControl w:val="0"/>
              <w:spacing w:after="0" w:line="240" w:lineRule="auto"/>
              <w:jc w:val="center"/>
              <w:rPr>
                <w:rFonts w:cs="Arial"/>
                <w:b/>
              </w:rPr>
            </w:pPr>
            <w:r>
              <w:rPr>
                <w:rFonts w:cs="Arial"/>
                <w:b/>
              </w:rPr>
              <w:t>Source</w:t>
            </w:r>
          </w:p>
        </w:tc>
        <w:tc>
          <w:tcPr>
            <w:tcW w:w="2394" w:type="dxa"/>
          </w:tcPr>
          <w:p w14:paraId="6F2D415C" w14:textId="77777777" w:rsidR="00254C24" w:rsidRDefault="00057471">
            <w:pPr>
              <w:keepNext/>
              <w:spacing w:after="0" w:line="240" w:lineRule="auto"/>
              <w:jc w:val="center"/>
              <w:rPr>
                <w:rFonts w:cs="Arial"/>
                <w:b/>
              </w:rPr>
            </w:pPr>
            <w:r>
              <w:rPr>
                <w:rFonts w:cs="Arial"/>
                <w:b/>
              </w:rPr>
              <w:t>Resources Made Available</w:t>
            </w:r>
          </w:p>
        </w:tc>
        <w:tc>
          <w:tcPr>
            <w:tcW w:w="2394" w:type="dxa"/>
          </w:tcPr>
          <w:p w14:paraId="36314967" w14:textId="77777777" w:rsidR="00254C24" w:rsidRDefault="00057471">
            <w:pPr>
              <w:keepNext/>
              <w:widowControl w:val="0"/>
              <w:spacing w:after="0" w:line="240" w:lineRule="auto"/>
              <w:jc w:val="center"/>
              <w:rPr>
                <w:rFonts w:cs="Arial"/>
                <w:b/>
              </w:rPr>
            </w:pPr>
            <w:r>
              <w:rPr>
                <w:rFonts w:cs="Arial"/>
                <w:b/>
              </w:rPr>
              <w:t>Amount Expended During Program Year</w:t>
            </w:r>
          </w:p>
        </w:tc>
      </w:tr>
      <w:tr w:rsidR="00254C24" w14:paraId="31F75448" w14:textId="77777777">
        <w:trPr>
          <w:cantSplit/>
        </w:trPr>
        <w:tc>
          <w:tcPr>
            <w:tcW w:w="0" w:type="auto"/>
            <w:vAlign w:val="bottom"/>
          </w:tcPr>
          <w:p w14:paraId="0D7FCF04" w14:textId="77777777" w:rsidR="00254C24" w:rsidRDefault="00057471">
            <w:pPr>
              <w:spacing w:beforeAutospacing="1" w:afterAutospacing="1"/>
            </w:pPr>
            <w:r>
              <w:rPr>
                <w:color w:val="000000"/>
              </w:rPr>
              <w:t>CDBG</w:t>
            </w:r>
          </w:p>
        </w:tc>
        <w:tc>
          <w:tcPr>
            <w:tcW w:w="0" w:type="auto"/>
            <w:vAlign w:val="bottom"/>
          </w:tcPr>
          <w:p w14:paraId="7B357789" w14:textId="77777777" w:rsidR="00254C24" w:rsidRDefault="00057471">
            <w:pPr>
              <w:spacing w:beforeAutospacing="1" w:afterAutospacing="1"/>
            </w:pPr>
            <w:r>
              <w:rPr>
                <w:color w:val="000000"/>
              </w:rPr>
              <w:t>public - federal</w:t>
            </w:r>
          </w:p>
        </w:tc>
        <w:tc>
          <w:tcPr>
            <w:tcW w:w="0" w:type="auto"/>
            <w:vAlign w:val="bottom"/>
          </w:tcPr>
          <w:p w14:paraId="4D37AD9E" w14:textId="77777777" w:rsidR="00254C24" w:rsidRDefault="00057471">
            <w:pPr>
              <w:spacing w:beforeAutospacing="1" w:afterAutospacing="1"/>
              <w:jc w:val="right"/>
            </w:pPr>
            <w:r>
              <w:rPr>
                <w:color w:val="000000"/>
              </w:rPr>
              <w:t>457,589</w:t>
            </w:r>
          </w:p>
        </w:tc>
        <w:tc>
          <w:tcPr>
            <w:tcW w:w="0" w:type="auto"/>
            <w:vAlign w:val="bottom"/>
          </w:tcPr>
          <w:p w14:paraId="6C0C6122" w14:textId="77777777" w:rsidR="00254C24" w:rsidRDefault="00057471">
            <w:pPr>
              <w:spacing w:beforeAutospacing="1" w:afterAutospacing="1"/>
              <w:jc w:val="right"/>
            </w:pPr>
            <w:r>
              <w:rPr>
                <w:color w:val="000000"/>
              </w:rPr>
              <w:t>238,479</w:t>
            </w:r>
          </w:p>
        </w:tc>
      </w:tr>
    </w:tbl>
    <w:p w14:paraId="78691C9A" w14:textId="77777777" w:rsidR="00254C24" w:rsidRDefault="0005747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737B46F7" w14:textId="77777777" w:rsidR="00254C24" w:rsidRDefault="00254C24">
      <w:pPr>
        <w:spacing w:after="0" w:line="240" w:lineRule="auto"/>
        <w:rPr>
          <w:b/>
          <w:sz w:val="24"/>
          <w:szCs w:val="24"/>
        </w:rPr>
      </w:pPr>
    </w:p>
    <w:p w14:paraId="60F70F04" w14:textId="77777777" w:rsidR="00057471" w:rsidRDefault="00057471" w:rsidP="00057471">
      <w:pPr>
        <w:pStyle w:val="NormalWeb"/>
      </w:pPr>
      <w:r>
        <w:t xml:space="preserve">During Program Year 2024, the City of Long Branch made strategic use of its federal Community Development Block Grant (CDBG) allocation to support priority activities identified in the Consolidated Plan. A total of </w:t>
      </w:r>
      <w:r>
        <w:rPr>
          <w:rStyle w:val="Strong"/>
        </w:rPr>
        <w:t>$457,589</w:t>
      </w:r>
      <w:r>
        <w:t xml:space="preserve"> in CDBG resources were made available, of which </w:t>
      </w:r>
      <w:r>
        <w:rPr>
          <w:rStyle w:val="Strong"/>
        </w:rPr>
        <w:t>$238,479</w:t>
      </w:r>
      <w:r>
        <w:t xml:space="preserve"> was expended during the program year.</w:t>
      </w:r>
    </w:p>
    <w:p w14:paraId="0107ED7D" w14:textId="77777777" w:rsidR="00057471" w:rsidRDefault="00057471" w:rsidP="00057471">
      <w:pPr>
        <w:pStyle w:val="NormalWeb"/>
      </w:pPr>
      <w:r>
        <w:t>These funds were directed toward public services, infrastructure improvements, and administrative functions, with a strong emphasis on serving low- and moderate-income residents. The city’s ability to effectively deploy these resources reflects its commitment to addressing community needs and maximizing the impact of federal investments.</w:t>
      </w:r>
    </w:p>
    <w:p w14:paraId="282E9081" w14:textId="77777777" w:rsidR="00057471" w:rsidRDefault="00057471" w:rsidP="00057471">
      <w:pPr>
        <w:pStyle w:val="NormalWeb"/>
      </w:pPr>
      <w:r>
        <w:t>As the final year of the 5-Year Consolidated Plan period, 2024 marked the culmination of sustained efforts to improve public facilities, expand access to services, and strengthen neighborhood infrastructure. The city’s use of CDBG funds has consistently aligned with its strategic goals, and the outcomes achieved this year reinforce the value of continued investment in equitable development.</w:t>
      </w:r>
    </w:p>
    <w:p w14:paraId="5D86EE48" w14:textId="1C7032E0" w:rsidR="000D5A02" w:rsidRDefault="000D5A02">
      <w:pPr>
        <w:spacing w:after="0" w:line="240" w:lineRule="auto"/>
        <w:rPr>
          <w:b/>
          <w:sz w:val="24"/>
          <w:szCs w:val="24"/>
        </w:rPr>
      </w:pPr>
    </w:p>
    <w:p w14:paraId="175C7260" w14:textId="77777777" w:rsidR="000D5A02" w:rsidRDefault="000D5A02">
      <w:pPr>
        <w:spacing w:after="0" w:line="240" w:lineRule="auto"/>
        <w:rPr>
          <w:b/>
          <w:sz w:val="24"/>
          <w:szCs w:val="24"/>
        </w:rPr>
      </w:pPr>
    </w:p>
    <w:p w14:paraId="768E9098" w14:textId="77777777" w:rsidR="00254C24" w:rsidRDefault="00057471">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055"/>
        <w:gridCol w:w="2055"/>
        <w:gridCol w:w="2297"/>
      </w:tblGrid>
      <w:tr w:rsidR="00254C24" w14:paraId="4E705F16" w14:textId="77777777">
        <w:trPr>
          <w:cantSplit/>
        </w:trPr>
        <w:tc>
          <w:tcPr>
            <w:tcW w:w="2394" w:type="dxa"/>
          </w:tcPr>
          <w:p w14:paraId="564E079C" w14:textId="77777777" w:rsidR="00254C24" w:rsidRDefault="00057471">
            <w:pPr>
              <w:keepNext/>
              <w:widowControl w:val="0"/>
              <w:spacing w:after="0" w:line="240" w:lineRule="auto"/>
              <w:jc w:val="center"/>
              <w:rPr>
                <w:rFonts w:cs="Arial"/>
                <w:b/>
              </w:rPr>
            </w:pPr>
            <w:r>
              <w:rPr>
                <w:rFonts w:cs="Arial"/>
                <w:b/>
              </w:rPr>
              <w:t>Target Area</w:t>
            </w:r>
          </w:p>
        </w:tc>
        <w:tc>
          <w:tcPr>
            <w:tcW w:w="2394" w:type="dxa"/>
          </w:tcPr>
          <w:p w14:paraId="0A86D733" w14:textId="77777777" w:rsidR="00254C24" w:rsidRDefault="00057471">
            <w:pPr>
              <w:keepNext/>
              <w:widowControl w:val="0"/>
              <w:spacing w:after="0" w:line="240" w:lineRule="auto"/>
              <w:jc w:val="center"/>
              <w:rPr>
                <w:rFonts w:cs="Arial"/>
                <w:b/>
              </w:rPr>
            </w:pPr>
            <w:r>
              <w:rPr>
                <w:rFonts w:cs="Arial"/>
                <w:b/>
              </w:rPr>
              <w:t>Planned Percentage of Allocation</w:t>
            </w:r>
          </w:p>
        </w:tc>
        <w:tc>
          <w:tcPr>
            <w:tcW w:w="2394" w:type="dxa"/>
          </w:tcPr>
          <w:p w14:paraId="71FA65BD" w14:textId="77777777" w:rsidR="00254C24" w:rsidRDefault="00057471">
            <w:pPr>
              <w:keepNext/>
              <w:spacing w:after="0" w:line="240" w:lineRule="auto"/>
              <w:jc w:val="center"/>
              <w:rPr>
                <w:rFonts w:cs="Arial"/>
                <w:b/>
              </w:rPr>
            </w:pPr>
            <w:r>
              <w:rPr>
                <w:rFonts w:cs="Arial"/>
                <w:b/>
              </w:rPr>
              <w:t>Actual Percentage of Allocation</w:t>
            </w:r>
          </w:p>
        </w:tc>
        <w:tc>
          <w:tcPr>
            <w:tcW w:w="2394" w:type="dxa"/>
          </w:tcPr>
          <w:p w14:paraId="2E1DF5ED" w14:textId="77777777" w:rsidR="00254C24" w:rsidRDefault="00057471">
            <w:pPr>
              <w:keepNext/>
              <w:widowControl w:val="0"/>
              <w:spacing w:after="0" w:line="240" w:lineRule="auto"/>
              <w:jc w:val="center"/>
              <w:rPr>
                <w:rFonts w:cs="Arial"/>
                <w:b/>
              </w:rPr>
            </w:pPr>
            <w:r>
              <w:rPr>
                <w:rFonts w:cs="Arial"/>
                <w:b/>
              </w:rPr>
              <w:t>Narrative Description</w:t>
            </w:r>
          </w:p>
        </w:tc>
      </w:tr>
      <w:tr w:rsidR="00254C24" w14:paraId="09089F02" w14:textId="77777777">
        <w:trPr>
          <w:cantSplit/>
        </w:trPr>
        <w:tc>
          <w:tcPr>
            <w:tcW w:w="0" w:type="auto"/>
            <w:vAlign w:val="bottom"/>
          </w:tcPr>
          <w:p w14:paraId="47FCAE9A" w14:textId="77777777" w:rsidR="00254C24" w:rsidRDefault="00057471">
            <w:pPr>
              <w:spacing w:beforeAutospacing="1" w:afterAutospacing="1"/>
            </w:pPr>
            <w:r>
              <w:rPr>
                <w:color w:val="000000"/>
              </w:rPr>
              <w:t>City-wide, emphasis on low/mod zones</w:t>
            </w:r>
          </w:p>
        </w:tc>
        <w:tc>
          <w:tcPr>
            <w:tcW w:w="0" w:type="auto"/>
            <w:vAlign w:val="bottom"/>
          </w:tcPr>
          <w:p w14:paraId="43C31B18" w14:textId="77777777" w:rsidR="00254C24" w:rsidRDefault="00057471">
            <w:pPr>
              <w:spacing w:beforeAutospacing="1" w:afterAutospacing="1"/>
            </w:pPr>
            <w:r>
              <w:rPr>
                <w:color w:val="000000"/>
              </w:rPr>
              <w:t>25</w:t>
            </w:r>
          </w:p>
        </w:tc>
        <w:tc>
          <w:tcPr>
            <w:tcW w:w="0" w:type="auto"/>
            <w:vAlign w:val="bottom"/>
          </w:tcPr>
          <w:p w14:paraId="2EF336B2" w14:textId="74D191B7" w:rsidR="00254C24" w:rsidRDefault="00057471">
            <w:pPr>
              <w:spacing w:beforeAutospacing="1" w:afterAutospacing="1"/>
            </w:pPr>
            <w:r>
              <w:t>25</w:t>
            </w:r>
          </w:p>
        </w:tc>
        <w:tc>
          <w:tcPr>
            <w:tcW w:w="0" w:type="auto"/>
            <w:vAlign w:val="bottom"/>
          </w:tcPr>
          <w:p w14:paraId="43860F60" w14:textId="77777777" w:rsidR="00254C24" w:rsidRDefault="00057471">
            <w:pPr>
              <w:spacing w:beforeAutospacing="1" w:afterAutospacing="1"/>
            </w:pPr>
            <w:r>
              <w:rPr>
                <w:color w:val="000000"/>
              </w:rPr>
              <w:t>Public Services</w:t>
            </w:r>
          </w:p>
        </w:tc>
      </w:tr>
      <w:tr w:rsidR="00254C24" w14:paraId="6FC19D28" w14:textId="77777777">
        <w:trPr>
          <w:cantSplit/>
        </w:trPr>
        <w:tc>
          <w:tcPr>
            <w:tcW w:w="0" w:type="auto"/>
            <w:vAlign w:val="bottom"/>
          </w:tcPr>
          <w:p w14:paraId="2AC8CDFE" w14:textId="77777777" w:rsidR="00254C24" w:rsidRDefault="00057471">
            <w:pPr>
              <w:spacing w:beforeAutospacing="1" w:afterAutospacing="1"/>
            </w:pPr>
            <w:r>
              <w:rPr>
                <w:color w:val="000000"/>
              </w:rPr>
              <w:t>Low/Mod Zones</w:t>
            </w:r>
          </w:p>
        </w:tc>
        <w:tc>
          <w:tcPr>
            <w:tcW w:w="0" w:type="auto"/>
            <w:vAlign w:val="bottom"/>
          </w:tcPr>
          <w:p w14:paraId="749360F0" w14:textId="77777777" w:rsidR="00254C24" w:rsidRDefault="00057471">
            <w:pPr>
              <w:spacing w:beforeAutospacing="1" w:afterAutospacing="1"/>
            </w:pPr>
            <w:r>
              <w:rPr>
                <w:color w:val="000000"/>
              </w:rPr>
              <w:t>75</w:t>
            </w:r>
          </w:p>
        </w:tc>
        <w:tc>
          <w:tcPr>
            <w:tcW w:w="0" w:type="auto"/>
            <w:vAlign w:val="bottom"/>
          </w:tcPr>
          <w:p w14:paraId="54FAC4F5" w14:textId="77777777" w:rsidR="00254C24" w:rsidRDefault="00057471">
            <w:pPr>
              <w:spacing w:beforeAutospacing="1" w:afterAutospacing="1"/>
            </w:pPr>
            <w:r>
              <w:rPr>
                <w:color w:val="000000"/>
              </w:rPr>
              <w:t>30</w:t>
            </w:r>
          </w:p>
        </w:tc>
        <w:tc>
          <w:tcPr>
            <w:tcW w:w="0" w:type="auto"/>
            <w:vAlign w:val="bottom"/>
          </w:tcPr>
          <w:p w14:paraId="3362C8E4" w14:textId="77777777" w:rsidR="00254C24" w:rsidRDefault="00057471">
            <w:pPr>
              <w:spacing w:beforeAutospacing="1" w:afterAutospacing="1"/>
            </w:pPr>
            <w:proofErr w:type="spellStart"/>
            <w:proofErr w:type="gramStart"/>
            <w:r>
              <w:rPr>
                <w:color w:val="000000"/>
              </w:rPr>
              <w:t>P.Facilities</w:t>
            </w:r>
            <w:proofErr w:type="spellEnd"/>
            <w:proofErr w:type="gramEnd"/>
            <w:r>
              <w:rPr>
                <w:color w:val="000000"/>
              </w:rPr>
              <w:t xml:space="preserve"> &amp; Infrastructure</w:t>
            </w:r>
          </w:p>
        </w:tc>
      </w:tr>
    </w:tbl>
    <w:p w14:paraId="71B6E890" w14:textId="77777777" w:rsidR="00254C24" w:rsidRDefault="0005747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1104BED9" w14:textId="77777777" w:rsidR="00254C24" w:rsidRDefault="00254C24">
      <w:pPr>
        <w:keepNext/>
        <w:widowControl w:val="0"/>
        <w:spacing w:line="204" w:lineRule="auto"/>
        <w:rPr>
          <w:b/>
          <w:sz w:val="24"/>
          <w:szCs w:val="24"/>
        </w:rPr>
      </w:pPr>
    </w:p>
    <w:p w14:paraId="4F484D4E" w14:textId="77777777" w:rsidR="00057471" w:rsidRPr="00057471" w:rsidRDefault="00057471" w:rsidP="00057471">
      <w:pPr>
        <w:spacing w:before="100" w:beforeAutospacing="1" w:after="100" w:afterAutospacing="1" w:line="240" w:lineRule="auto"/>
        <w:rPr>
          <w:rFonts w:ascii="Times New Roman" w:eastAsia="Times New Roman" w:hAnsi="Times New Roman"/>
          <w:sz w:val="24"/>
          <w:szCs w:val="24"/>
        </w:rPr>
      </w:pPr>
      <w:r w:rsidRPr="00057471">
        <w:rPr>
          <w:rFonts w:ascii="Times New Roman" w:eastAsia="Times New Roman" w:hAnsi="Times New Roman"/>
          <w:sz w:val="24"/>
          <w:szCs w:val="24"/>
        </w:rPr>
        <w:t xml:space="preserve">In Program Year 2024, the City of Long Branch expended </w:t>
      </w:r>
      <w:r w:rsidRPr="00057471">
        <w:rPr>
          <w:rFonts w:ascii="Times New Roman" w:eastAsia="Times New Roman" w:hAnsi="Times New Roman"/>
          <w:b/>
          <w:bCs/>
          <w:sz w:val="24"/>
          <w:szCs w:val="24"/>
        </w:rPr>
        <w:t>$238,479</w:t>
      </w:r>
      <w:r w:rsidRPr="00057471">
        <w:rPr>
          <w:rFonts w:ascii="Times New Roman" w:eastAsia="Times New Roman" w:hAnsi="Times New Roman"/>
          <w:sz w:val="24"/>
          <w:szCs w:val="24"/>
        </w:rPr>
        <w:t xml:space="preserve"> in CDBG funds to advance its strategic goals in public services, infrastructure, and administration. Over the full 5-year Consolidated Plan period, a total of </w:t>
      </w:r>
      <w:r w:rsidRPr="00057471">
        <w:rPr>
          <w:rFonts w:ascii="Times New Roman" w:eastAsia="Times New Roman" w:hAnsi="Times New Roman"/>
          <w:b/>
          <w:bCs/>
          <w:sz w:val="24"/>
          <w:szCs w:val="24"/>
        </w:rPr>
        <w:t>$457,589</w:t>
      </w:r>
      <w:r w:rsidRPr="00057471">
        <w:rPr>
          <w:rFonts w:ascii="Times New Roman" w:eastAsia="Times New Roman" w:hAnsi="Times New Roman"/>
          <w:sz w:val="24"/>
          <w:szCs w:val="24"/>
        </w:rPr>
        <w:t xml:space="preserve"> in federal resources were made available, supporting a wide range of community development initiatives.</w:t>
      </w:r>
    </w:p>
    <w:p w14:paraId="23CA862D" w14:textId="77777777" w:rsidR="00057471" w:rsidRPr="00057471" w:rsidRDefault="00057471" w:rsidP="00057471">
      <w:pPr>
        <w:spacing w:before="100" w:beforeAutospacing="1" w:after="100" w:afterAutospacing="1" w:line="240" w:lineRule="auto"/>
        <w:rPr>
          <w:rFonts w:ascii="Times New Roman" w:eastAsia="Times New Roman" w:hAnsi="Times New Roman"/>
          <w:sz w:val="24"/>
          <w:szCs w:val="24"/>
        </w:rPr>
      </w:pPr>
      <w:r w:rsidRPr="00057471">
        <w:rPr>
          <w:rFonts w:ascii="Times New Roman" w:eastAsia="Times New Roman" w:hAnsi="Times New Roman"/>
          <w:sz w:val="24"/>
          <w:szCs w:val="24"/>
        </w:rPr>
        <w:t xml:space="preserve">The geographic distribution of investments remained focused on </w:t>
      </w:r>
      <w:r w:rsidRPr="00057471">
        <w:rPr>
          <w:rFonts w:ascii="Times New Roman" w:eastAsia="Times New Roman" w:hAnsi="Times New Roman"/>
          <w:b/>
          <w:bCs/>
          <w:sz w:val="24"/>
          <w:szCs w:val="24"/>
        </w:rPr>
        <w:t>low- and moderate-income zones</w:t>
      </w:r>
      <w:r w:rsidRPr="00057471">
        <w:rPr>
          <w:rFonts w:ascii="Times New Roman" w:eastAsia="Times New Roman" w:hAnsi="Times New Roman"/>
          <w:sz w:val="24"/>
          <w:szCs w:val="24"/>
        </w:rPr>
        <w:t xml:space="preserve">, with </w:t>
      </w:r>
      <w:r w:rsidRPr="00057471">
        <w:rPr>
          <w:rFonts w:ascii="Times New Roman" w:eastAsia="Times New Roman" w:hAnsi="Times New Roman"/>
          <w:b/>
          <w:bCs/>
          <w:sz w:val="24"/>
          <w:szCs w:val="24"/>
        </w:rPr>
        <w:t>30%</w:t>
      </w:r>
      <w:r w:rsidRPr="00057471">
        <w:rPr>
          <w:rFonts w:ascii="Times New Roman" w:eastAsia="Times New Roman" w:hAnsi="Times New Roman"/>
          <w:sz w:val="24"/>
          <w:szCs w:val="24"/>
        </w:rPr>
        <w:t xml:space="preserve"> of actual allocations directed toward public facilities and infrastructure improvements in these areas. Public Services received </w:t>
      </w:r>
      <w:r w:rsidRPr="00057471">
        <w:rPr>
          <w:rFonts w:ascii="Times New Roman" w:eastAsia="Times New Roman" w:hAnsi="Times New Roman"/>
          <w:b/>
          <w:bCs/>
          <w:sz w:val="24"/>
          <w:szCs w:val="24"/>
        </w:rPr>
        <w:t>25%</w:t>
      </w:r>
      <w:r w:rsidRPr="00057471">
        <w:rPr>
          <w:rFonts w:ascii="Times New Roman" w:eastAsia="Times New Roman" w:hAnsi="Times New Roman"/>
          <w:sz w:val="24"/>
          <w:szCs w:val="24"/>
        </w:rPr>
        <w:t xml:space="preserve"> of the actual allocation, aligning </w:t>
      </w:r>
      <w:r w:rsidRPr="00057471">
        <w:rPr>
          <w:rFonts w:ascii="Times New Roman" w:eastAsia="Times New Roman" w:hAnsi="Times New Roman"/>
          <w:sz w:val="24"/>
          <w:szCs w:val="24"/>
        </w:rPr>
        <w:lastRenderedPageBreak/>
        <w:t>precisely with the planned percentage and demonstrating the city’s commitment to maintaining essential services for vulnerable populations across Long Branch.</w:t>
      </w:r>
    </w:p>
    <w:p w14:paraId="2B8A21D9" w14:textId="77777777" w:rsidR="00057471" w:rsidRPr="00057471" w:rsidRDefault="00057471" w:rsidP="00057471">
      <w:pPr>
        <w:spacing w:before="100" w:beforeAutospacing="1" w:after="100" w:afterAutospacing="1" w:line="240" w:lineRule="auto"/>
        <w:rPr>
          <w:rFonts w:ascii="Times New Roman" w:eastAsia="Times New Roman" w:hAnsi="Times New Roman"/>
          <w:sz w:val="24"/>
          <w:szCs w:val="24"/>
        </w:rPr>
      </w:pPr>
      <w:r w:rsidRPr="00057471">
        <w:rPr>
          <w:rFonts w:ascii="Times New Roman" w:eastAsia="Times New Roman" w:hAnsi="Times New Roman"/>
          <w:sz w:val="24"/>
          <w:szCs w:val="24"/>
        </w:rPr>
        <w:t xml:space="preserve">This balanced allocation reflects the city’s strategic approach to addressing both immediate </w:t>
      </w:r>
      <w:proofErr w:type="gramStart"/>
      <w:r w:rsidRPr="00057471">
        <w:rPr>
          <w:rFonts w:ascii="Times New Roman" w:eastAsia="Times New Roman" w:hAnsi="Times New Roman"/>
          <w:sz w:val="24"/>
          <w:szCs w:val="24"/>
        </w:rPr>
        <w:t>service</w:t>
      </w:r>
      <w:proofErr w:type="gramEnd"/>
      <w:r w:rsidRPr="00057471">
        <w:rPr>
          <w:rFonts w:ascii="Times New Roman" w:eastAsia="Times New Roman" w:hAnsi="Times New Roman"/>
          <w:sz w:val="24"/>
          <w:szCs w:val="24"/>
        </w:rPr>
        <w:t xml:space="preserve"> needs and long-term infrastructure goals. Public Services included outreach, education, and support programs that were delivered city-wide, while infrastructure investments targeted areas with the greatest need for physical improvements.</w:t>
      </w:r>
    </w:p>
    <w:p w14:paraId="6D414FD4" w14:textId="77777777" w:rsidR="00057471" w:rsidRPr="00057471" w:rsidRDefault="00057471" w:rsidP="00057471">
      <w:pPr>
        <w:spacing w:before="100" w:beforeAutospacing="1" w:after="100" w:afterAutospacing="1" w:line="240" w:lineRule="auto"/>
        <w:rPr>
          <w:rFonts w:ascii="Times New Roman" w:eastAsia="Times New Roman" w:hAnsi="Times New Roman"/>
          <w:sz w:val="24"/>
          <w:szCs w:val="24"/>
        </w:rPr>
      </w:pPr>
      <w:r w:rsidRPr="00057471">
        <w:rPr>
          <w:rFonts w:ascii="Times New Roman" w:eastAsia="Times New Roman" w:hAnsi="Times New Roman"/>
          <w:sz w:val="24"/>
          <w:szCs w:val="24"/>
        </w:rPr>
        <w:t>Although CDBG funds do not require formal matching, Long Branch successfully leveraged additional resources through partnerships with local nonprofits, service agencies, and municipal departments. These collaborations enhanced program delivery and extended the impact of federal investments. Publicly owned facilities were also utilized to host services and programs, maximizing the value of existing assets.</w:t>
      </w:r>
    </w:p>
    <w:p w14:paraId="7DA07B96" w14:textId="77777777" w:rsidR="00057471" w:rsidRPr="00057471" w:rsidRDefault="00057471" w:rsidP="00057471">
      <w:pPr>
        <w:spacing w:before="100" w:beforeAutospacing="1" w:after="100" w:afterAutospacing="1" w:line="240" w:lineRule="auto"/>
        <w:rPr>
          <w:rFonts w:ascii="Times New Roman" w:eastAsia="Times New Roman" w:hAnsi="Times New Roman"/>
          <w:sz w:val="24"/>
          <w:szCs w:val="24"/>
        </w:rPr>
      </w:pPr>
      <w:r w:rsidRPr="00057471">
        <w:rPr>
          <w:rFonts w:ascii="Times New Roman" w:eastAsia="Times New Roman" w:hAnsi="Times New Roman"/>
          <w:sz w:val="24"/>
          <w:szCs w:val="24"/>
        </w:rPr>
        <w:t>As the city concludes its 5-year Consolidated Plan, the strategic use of CDBG funds has resulted in measurable improvements in community well-being, infrastructure resilience, and service accessibility. These outcomes will inform future planning and investment strategies in the next Consolidated Plan cycle.</w:t>
      </w:r>
    </w:p>
    <w:p w14:paraId="4F0637AF" w14:textId="77777777" w:rsidR="00254C24" w:rsidRDefault="00254C24">
      <w:pPr>
        <w:widowControl w:val="0"/>
        <w:spacing w:line="204" w:lineRule="auto"/>
        <w:rPr>
          <w:rFonts w:cs="Arial"/>
        </w:rPr>
      </w:pPr>
    </w:p>
    <w:p w14:paraId="3C9303EC" w14:textId="77777777" w:rsidR="00254C24" w:rsidRDefault="00057471">
      <w:pPr>
        <w:pageBreakBefore/>
        <w:widowControl w:val="0"/>
        <w:spacing w:line="240" w:lineRule="auto"/>
        <w:rPr>
          <w:b/>
          <w:sz w:val="24"/>
          <w:szCs w:val="24"/>
        </w:rPr>
      </w:pPr>
      <w:r>
        <w:rPr>
          <w:b/>
          <w:sz w:val="24"/>
          <w:szCs w:val="24"/>
        </w:rPr>
        <w:lastRenderedPageBreak/>
        <w:t>Leveraging</w:t>
      </w:r>
    </w:p>
    <w:p w14:paraId="6F0A5C48" w14:textId="77777777" w:rsidR="00254C24" w:rsidRDefault="00057471">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7B833767" w14:textId="77777777" w:rsidR="00254C24" w:rsidRDefault="00254C24">
      <w:pPr>
        <w:widowControl w:val="0"/>
        <w:spacing w:after="0" w:line="240" w:lineRule="auto"/>
        <w:rPr>
          <w:sz w:val="24"/>
          <w:szCs w:val="24"/>
        </w:rPr>
      </w:pPr>
    </w:p>
    <w:p w14:paraId="73F1775B" w14:textId="77777777" w:rsidR="00254C24" w:rsidRDefault="00254C24">
      <w:pPr>
        <w:widowControl w:val="0"/>
        <w:spacing w:after="0" w:line="240" w:lineRule="auto"/>
        <w:rPr>
          <w:sz w:val="24"/>
          <w:szCs w:val="24"/>
        </w:rPr>
      </w:pPr>
    </w:p>
    <w:p w14:paraId="117CD187" w14:textId="77777777" w:rsidR="00254C24" w:rsidRDefault="00254C24">
      <w:pPr>
        <w:spacing w:after="0" w:line="240" w:lineRule="auto"/>
      </w:pPr>
      <w:bookmarkStart w:id="2" w:name="_Toc309810475"/>
    </w:p>
    <w:p w14:paraId="7C7ED812" w14:textId="77777777" w:rsidR="00254C24" w:rsidRDefault="00254C24">
      <w:pPr>
        <w:sectPr w:rsidR="00254C24">
          <w:pgSz w:w="12240" w:h="15840" w:code="1"/>
          <w:pgMar w:top="1440" w:right="1440" w:bottom="1440" w:left="1440" w:header="720" w:footer="720" w:gutter="0"/>
          <w:cols w:space="720"/>
          <w:docGrid w:linePitch="360"/>
        </w:sectPr>
      </w:pPr>
    </w:p>
    <w:p w14:paraId="293414F0" w14:textId="77777777" w:rsidR="00254C24" w:rsidRDefault="00057471">
      <w:pPr>
        <w:pStyle w:val="Heading2"/>
        <w:rPr>
          <w:rFonts w:ascii="Calibri" w:hAnsi="Calibri"/>
          <w:i w:val="0"/>
        </w:rPr>
      </w:pPr>
      <w:r>
        <w:rPr>
          <w:rFonts w:ascii="Calibri" w:hAnsi="Calibri"/>
          <w:i w:val="0"/>
        </w:rPr>
        <w:lastRenderedPageBreak/>
        <w:t>CR-20 - Affordable Housing 91.520(b)</w:t>
      </w:r>
    </w:p>
    <w:p w14:paraId="4E141254" w14:textId="77777777" w:rsidR="00254C24" w:rsidRDefault="00057471">
      <w:pPr>
        <w:keepNext/>
        <w:widowControl w:val="0"/>
        <w:spacing w:after="0" w:line="240" w:lineRule="auto"/>
        <w:rPr>
          <w:b/>
          <w:sz w:val="24"/>
          <w:szCs w:val="24"/>
        </w:rPr>
      </w:pPr>
      <w:r>
        <w:rPr>
          <w:b/>
          <w:sz w:val="24"/>
          <w:szCs w:val="24"/>
        </w:rPr>
        <w:t>Evaluation of the jurisdiction's progress in providing affordable housing, including the number and types of families served, the number of extremely low-income, low-income, moderate-income, and middle-income persons served.</w:t>
      </w:r>
    </w:p>
    <w:p w14:paraId="731003DE" w14:textId="77777777" w:rsidR="00254C24" w:rsidRDefault="00254C24">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254C24" w14:paraId="370B91BF" w14:textId="77777777">
        <w:trPr>
          <w:cantSplit/>
          <w:tblHeader/>
        </w:trPr>
        <w:tc>
          <w:tcPr>
            <w:tcW w:w="4293" w:type="dxa"/>
          </w:tcPr>
          <w:p w14:paraId="4871564E" w14:textId="77777777" w:rsidR="00254C24" w:rsidRDefault="00254C24">
            <w:pPr>
              <w:pStyle w:val="Caption"/>
              <w:keepNext/>
              <w:widowControl w:val="0"/>
              <w:jc w:val="center"/>
              <w:rPr>
                <w:rFonts w:ascii="Calibri" w:hAnsi="Calibri"/>
                <w:sz w:val="22"/>
                <w:szCs w:val="22"/>
              </w:rPr>
            </w:pPr>
          </w:p>
        </w:tc>
        <w:tc>
          <w:tcPr>
            <w:tcW w:w="2648" w:type="dxa"/>
          </w:tcPr>
          <w:p w14:paraId="3F08D583" w14:textId="77777777" w:rsidR="00254C24" w:rsidRDefault="00057471">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50F3E100" w14:textId="77777777" w:rsidR="00254C24" w:rsidRDefault="00057471">
            <w:pPr>
              <w:pStyle w:val="Caption"/>
              <w:keepNext/>
              <w:widowControl w:val="0"/>
              <w:jc w:val="center"/>
              <w:rPr>
                <w:rFonts w:ascii="Calibri" w:hAnsi="Calibri"/>
                <w:sz w:val="22"/>
                <w:szCs w:val="22"/>
              </w:rPr>
            </w:pPr>
            <w:r>
              <w:rPr>
                <w:rFonts w:ascii="Calibri" w:hAnsi="Calibri"/>
                <w:sz w:val="22"/>
                <w:szCs w:val="22"/>
              </w:rPr>
              <w:t>Actual</w:t>
            </w:r>
          </w:p>
        </w:tc>
      </w:tr>
      <w:tr w:rsidR="00254C24" w14:paraId="6621C022" w14:textId="77777777">
        <w:trPr>
          <w:cantSplit/>
        </w:trPr>
        <w:tc>
          <w:tcPr>
            <w:tcW w:w="4293" w:type="dxa"/>
          </w:tcPr>
          <w:p w14:paraId="51E31092" w14:textId="77777777" w:rsidR="00254C24" w:rsidRDefault="00057471">
            <w:pPr>
              <w:keepNext/>
              <w:spacing w:after="0" w:line="240" w:lineRule="auto"/>
              <w:ind w:right="432"/>
            </w:pPr>
            <w:r>
              <w:t xml:space="preserve">Number of homeless households to be provided affordable housing units </w:t>
            </w:r>
          </w:p>
        </w:tc>
        <w:tc>
          <w:tcPr>
            <w:tcW w:w="2648" w:type="dxa"/>
          </w:tcPr>
          <w:p w14:paraId="0EFF961F" w14:textId="77777777" w:rsidR="00254C24" w:rsidRDefault="00254C24">
            <w:pPr>
              <w:pStyle w:val="Caption"/>
              <w:keepNext/>
              <w:widowControl w:val="0"/>
              <w:rPr>
                <w:rFonts w:ascii="Calibri" w:hAnsi="Calibri"/>
                <w:sz w:val="22"/>
                <w:szCs w:val="22"/>
              </w:rPr>
            </w:pPr>
          </w:p>
        </w:tc>
        <w:tc>
          <w:tcPr>
            <w:tcW w:w="2649" w:type="dxa"/>
          </w:tcPr>
          <w:p w14:paraId="7E2ED802" w14:textId="77777777" w:rsidR="00254C24" w:rsidRDefault="00254C24">
            <w:pPr>
              <w:pStyle w:val="Caption"/>
              <w:keepNext/>
              <w:widowControl w:val="0"/>
              <w:rPr>
                <w:rFonts w:ascii="Calibri" w:hAnsi="Calibri"/>
                <w:sz w:val="22"/>
                <w:szCs w:val="22"/>
              </w:rPr>
            </w:pPr>
          </w:p>
        </w:tc>
      </w:tr>
      <w:tr w:rsidR="00254C24" w14:paraId="57F84FAA" w14:textId="77777777">
        <w:trPr>
          <w:cantSplit/>
        </w:trPr>
        <w:tc>
          <w:tcPr>
            <w:tcW w:w="4293" w:type="dxa"/>
          </w:tcPr>
          <w:p w14:paraId="37D4B87C" w14:textId="77777777" w:rsidR="00254C24" w:rsidRDefault="00057471">
            <w:pPr>
              <w:keepNext/>
              <w:spacing w:after="0" w:line="240" w:lineRule="auto"/>
              <w:ind w:right="432"/>
            </w:pPr>
            <w:r>
              <w:t xml:space="preserve">Number of non-homeless households to be provided affordable housing units </w:t>
            </w:r>
          </w:p>
        </w:tc>
        <w:tc>
          <w:tcPr>
            <w:tcW w:w="2648" w:type="dxa"/>
          </w:tcPr>
          <w:p w14:paraId="76B6489B" w14:textId="77777777" w:rsidR="00254C24" w:rsidRDefault="00254C24">
            <w:pPr>
              <w:pStyle w:val="Caption"/>
              <w:keepNext/>
              <w:widowControl w:val="0"/>
              <w:rPr>
                <w:rFonts w:ascii="Calibri" w:hAnsi="Calibri"/>
                <w:sz w:val="22"/>
                <w:szCs w:val="22"/>
              </w:rPr>
            </w:pPr>
          </w:p>
        </w:tc>
        <w:tc>
          <w:tcPr>
            <w:tcW w:w="2649" w:type="dxa"/>
          </w:tcPr>
          <w:p w14:paraId="4A0C6129" w14:textId="77777777" w:rsidR="00254C24" w:rsidRDefault="00254C24">
            <w:pPr>
              <w:pStyle w:val="Caption"/>
              <w:keepNext/>
              <w:widowControl w:val="0"/>
              <w:rPr>
                <w:rFonts w:ascii="Calibri" w:hAnsi="Calibri"/>
                <w:sz w:val="22"/>
                <w:szCs w:val="22"/>
              </w:rPr>
            </w:pPr>
          </w:p>
        </w:tc>
      </w:tr>
      <w:tr w:rsidR="00254C24" w14:paraId="2AA85F48" w14:textId="77777777">
        <w:trPr>
          <w:cantSplit/>
        </w:trPr>
        <w:tc>
          <w:tcPr>
            <w:tcW w:w="4293" w:type="dxa"/>
          </w:tcPr>
          <w:p w14:paraId="6C150A91" w14:textId="77777777" w:rsidR="00254C24" w:rsidRDefault="00057471">
            <w:pPr>
              <w:keepNext/>
              <w:spacing w:after="0" w:line="240" w:lineRule="auto"/>
              <w:ind w:right="432"/>
            </w:pPr>
            <w:r>
              <w:t>Number of special-needs households to be provided affordable housing units</w:t>
            </w:r>
          </w:p>
        </w:tc>
        <w:tc>
          <w:tcPr>
            <w:tcW w:w="2648" w:type="dxa"/>
          </w:tcPr>
          <w:p w14:paraId="7E434665" w14:textId="77777777" w:rsidR="00254C24" w:rsidRDefault="00254C24">
            <w:pPr>
              <w:pStyle w:val="Caption"/>
              <w:keepNext/>
              <w:widowControl w:val="0"/>
              <w:rPr>
                <w:rFonts w:ascii="Calibri" w:hAnsi="Calibri"/>
                <w:sz w:val="22"/>
                <w:szCs w:val="22"/>
              </w:rPr>
            </w:pPr>
          </w:p>
        </w:tc>
        <w:tc>
          <w:tcPr>
            <w:tcW w:w="2649" w:type="dxa"/>
          </w:tcPr>
          <w:p w14:paraId="75F09C48" w14:textId="77777777" w:rsidR="00254C24" w:rsidRDefault="00254C24">
            <w:pPr>
              <w:pStyle w:val="Caption"/>
              <w:keepNext/>
              <w:widowControl w:val="0"/>
              <w:rPr>
                <w:rFonts w:ascii="Calibri" w:hAnsi="Calibri"/>
                <w:sz w:val="22"/>
                <w:szCs w:val="22"/>
              </w:rPr>
            </w:pPr>
          </w:p>
        </w:tc>
      </w:tr>
      <w:tr w:rsidR="00254C24" w14:paraId="5EC5265C" w14:textId="77777777">
        <w:trPr>
          <w:cantSplit/>
        </w:trPr>
        <w:tc>
          <w:tcPr>
            <w:tcW w:w="4293" w:type="dxa"/>
          </w:tcPr>
          <w:p w14:paraId="185C2101" w14:textId="77777777" w:rsidR="00254C24" w:rsidRDefault="00057471">
            <w:pPr>
              <w:keepNext/>
              <w:spacing w:after="0" w:line="240" w:lineRule="auto"/>
              <w:ind w:right="432"/>
              <w:rPr>
                <w:b/>
              </w:rPr>
            </w:pPr>
            <w:r>
              <w:rPr>
                <w:b/>
              </w:rPr>
              <w:t>Total</w:t>
            </w:r>
          </w:p>
        </w:tc>
        <w:tc>
          <w:tcPr>
            <w:tcW w:w="2648" w:type="dxa"/>
          </w:tcPr>
          <w:p w14:paraId="216AE0A8" w14:textId="77777777" w:rsidR="00254C24" w:rsidRDefault="00254C24">
            <w:pPr>
              <w:pStyle w:val="Caption"/>
              <w:keepNext/>
              <w:widowControl w:val="0"/>
              <w:rPr>
                <w:rFonts w:ascii="Calibri" w:hAnsi="Calibri"/>
                <w:sz w:val="22"/>
                <w:szCs w:val="22"/>
              </w:rPr>
            </w:pPr>
          </w:p>
        </w:tc>
        <w:tc>
          <w:tcPr>
            <w:tcW w:w="2649" w:type="dxa"/>
          </w:tcPr>
          <w:p w14:paraId="1C3956D7" w14:textId="77777777" w:rsidR="00254C24" w:rsidRDefault="00254C24">
            <w:pPr>
              <w:pStyle w:val="Caption"/>
              <w:keepNext/>
              <w:widowControl w:val="0"/>
              <w:rPr>
                <w:rFonts w:ascii="Calibri" w:hAnsi="Calibri"/>
                <w:sz w:val="22"/>
                <w:szCs w:val="22"/>
              </w:rPr>
            </w:pPr>
          </w:p>
        </w:tc>
      </w:tr>
    </w:tbl>
    <w:p w14:paraId="4C5D705D" w14:textId="77777777" w:rsidR="00254C24" w:rsidRDefault="0005747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37AC6A90" w14:textId="77777777" w:rsidR="00254C24" w:rsidRDefault="00254C24"/>
    <w:p w14:paraId="6C80FACA" w14:textId="77777777" w:rsidR="00254C24" w:rsidRDefault="00254C24"/>
    <w:p w14:paraId="2B22077A" w14:textId="77777777" w:rsidR="00254C24" w:rsidRDefault="00254C24">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254C24" w14:paraId="4B5209D3" w14:textId="77777777">
        <w:trPr>
          <w:cantSplit/>
          <w:tblHeader/>
        </w:trPr>
        <w:tc>
          <w:tcPr>
            <w:tcW w:w="4293" w:type="dxa"/>
          </w:tcPr>
          <w:p w14:paraId="5385A2F8" w14:textId="77777777" w:rsidR="00254C24" w:rsidRDefault="00254C24">
            <w:pPr>
              <w:pStyle w:val="Caption"/>
              <w:keepNext/>
              <w:widowControl w:val="0"/>
              <w:jc w:val="center"/>
              <w:rPr>
                <w:rFonts w:ascii="Calibri" w:hAnsi="Calibri"/>
                <w:sz w:val="22"/>
                <w:szCs w:val="22"/>
              </w:rPr>
            </w:pPr>
          </w:p>
        </w:tc>
        <w:tc>
          <w:tcPr>
            <w:tcW w:w="2648" w:type="dxa"/>
          </w:tcPr>
          <w:p w14:paraId="48C9E128" w14:textId="77777777" w:rsidR="00254C24" w:rsidRDefault="00057471">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03CF85F0" w14:textId="77777777" w:rsidR="00254C24" w:rsidRDefault="00057471">
            <w:pPr>
              <w:pStyle w:val="Caption"/>
              <w:keepNext/>
              <w:widowControl w:val="0"/>
              <w:jc w:val="center"/>
              <w:rPr>
                <w:rFonts w:ascii="Calibri" w:hAnsi="Calibri"/>
                <w:sz w:val="22"/>
                <w:szCs w:val="22"/>
              </w:rPr>
            </w:pPr>
            <w:r>
              <w:rPr>
                <w:rFonts w:ascii="Calibri" w:hAnsi="Calibri"/>
                <w:sz w:val="22"/>
                <w:szCs w:val="22"/>
              </w:rPr>
              <w:t>Actual</w:t>
            </w:r>
          </w:p>
        </w:tc>
      </w:tr>
      <w:tr w:rsidR="00254C24" w14:paraId="39832B4D" w14:textId="77777777">
        <w:trPr>
          <w:cantSplit/>
        </w:trPr>
        <w:tc>
          <w:tcPr>
            <w:tcW w:w="4293" w:type="dxa"/>
          </w:tcPr>
          <w:p w14:paraId="254FC1FD" w14:textId="77777777" w:rsidR="00254C24" w:rsidRDefault="00057471">
            <w:pPr>
              <w:keepNext/>
              <w:spacing w:after="0" w:line="240" w:lineRule="auto"/>
              <w:ind w:right="432"/>
            </w:pPr>
            <w:r>
              <w:t xml:space="preserve">Number of households supported through rental assistance </w:t>
            </w:r>
          </w:p>
        </w:tc>
        <w:tc>
          <w:tcPr>
            <w:tcW w:w="2648" w:type="dxa"/>
          </w:tcPr>
          <w:p w14:paraId="7FD1D4AF" w14:textId="77777777" w:rsidR="00254C24" w:rsidRDefault="00254C24">
            <w:pPr>
              <w:pStyle w:val="Caption"/>
              <w:keepNext/>
              <w:widowControl w:val="0"/>
              <w:rPr>
                <w:rFonts w:ascii="Calibri" w:hAnsi="Calibri"/>
                <w:sz w:val="22"/>
                <w:szCs w:val="22"/>
              </w:rPr>
            </w:pPr>
          </w:p>
        </w:tc>
        <w:tc>
          <w:tcPr>
            <w:tcW w:w="2649" w:type="dxa"/>
          </w:tcPr>
          <w:p w14:paraId="2FD92C3F" w14:textId="77777777" w:rsidR="00254C24" w:rsidRDefault="00254C24">
            <w:pPr>
              <w:pStyle w:val="Caption"/>
              <w:keepNext/>
              <w:widowControl w:val="0"/>
              <w:rPr>
                <w:rFonts w:ascii="Calibri" w:hAnsi="Calibri"/>
                <w:sz w:val="22"/>
                <w:szCs w:val="22"/>
              </w:rPr>
            </w:pPr>
          </w:p>
        </w:tc>
      </w:tr>
      <w:tr w:rsidR="00254C24" w14:paraId="1044D95F" w14:textId="77777777">
        <w:trPr>
          <w:cantSplit/>
        </w:trPr>
        <w:tc>
          <w:tcPr>
            <w:tcW w:w="4293" w:type="dxa"/>
          </w:tcPr>
          <w:p w14:paraId="78210E93" w14:textId="77777777" w:rsidR="00254C24" w:rsidRDefault="00057471">
            <w:pPr>
              <w:keepNext/>
              <w:spacing w:after="0" w:line="240" w:lineRule="auto"/>
              <w:ind w:right="432"/>
            </w:pPr>
            <w:r>
              <w:t>Number of households supported through the production of new units</w:t>
            </w:r>
          </w:p>
        </w:tc>
        <w:tc>
          <w:tcPr>
            <w:tcW w:w="2648" w:type="dxa"/>
          </w:tcPr>
          <w:p w14:paraId="273902EF" w14:textId="77777777" w:rsidR="00254C24" w:rsidRDefault="00254C24">
            <w:pPr>
              <w:pStyle w:val="Caption"/>
              <w:keepNext/>
              <w:widowControl w:val="0"/>
              <w:rPr>
                <w:rFonts w:ascii="Calibri" w:hAnsi="Calibri"/>
                <w:sz w:val="22"/>
                <w:szCs w:val="22"/>
              </w:rPr>
            </w:pPr>
          </w:p>
        </w:tc>
        <w:tc>
          <w:tcPr>
            <w:tcW w:w="2649" w:type="dxa"/>
          </w:tcPr>
          <w:p w14:paraId="51324318" w14:textId="77777777" w:rsidR="00254C24" w:rsidRDefault="00254C24">
            <w:pPr>
              <w:pStyle w:val="Caption"/>
              <w:keepNext/>
              <w:widowControl w:val="0"/>
              <w:rPr>
                <w:rFonts w:ascii="Calibri" w:hAnsi="Calibri"/>
                <w:sz w:val="22"/>
                <w:szCs w:val="22"/>
              </w:rPr>
            </w:pPr>
          </w:p>
        </w:tc>
      </w:tr>
      <w:tr w:rsidR="00254C24" w14:paraId="6D86E860" w14:textId="77777777">
        <w:trPr>
          <w:cantSplit/>
        </w:trPr>
        <w:tc>
          <w:tcPr>
            <w:tcW w:w="4293" w:type="dxa"/>
          </w:tcPr>
          <w:p w14:paraId="3C53C955" w14:textId="77777777" w:rsidR="00254C24" w:rsidRDefault="00057471">
            <w:pPr>
              <w:keepNext/>
              <w:spacing w:after="0" w:line="240" w:lineRule="auto"/>
              <w:ind w:right="432"/>
            </w:pPr>
            <w:r>
              <w:t>Number of households supported through the rehab of existing units</w:t>
            </w:r>
          </w:p>
        </w:tc>
        <w:tc>
          <w:tcPr>
            <w:tcW w:w="2648" w:type="dxa"/>
          </w:tcPr>
          <w:p w14:paraId="755FA814" w14:textId="77777777" w:rsidR="00254C24" w:rsidRDefault="00254C24">
            <w:pPr>
              <w:pStyle w:val="Caption"/>
              <w:keepNext/>
              <w:widowControl w:val="0"/>
              <w:rPr>
                <w:rFonts w:ascii="Calibri" w:hAnsi="Calibri"/>
                <w:sz w:val="22"/>
                <w:szCs w:val="22"/>
              </w:rPr>
            </w:pPr>
          </w:p>
        </w:tc>
        <w:tc>
          <w:tcPr>
            <w:tcW w:w="2649" w:type="dxa"/>
          </w:tcPr>
          <w:p w14:paraId="71BFFE2D" w14:textId="77777777" w:rsidR="00254C24" w:rsidRDefault="00254C24">
            <w:pPr>
              <w:pStyle w:val="Caption"/>
              <w:keepNext/>
              <w:widowControl w:val="0"/>
              <w:rPr>
                <w:rFonts w:ascii="Calibri" w:hAnsi="Calibri"/>
                <w:sz w:val="22"/>
                <w:szCs w:val="22"/>
              </w:rPr>
            </w:pPr>
          </w:p>
        </w:tc>
      </w:tr>
      <w:tr w:rsidR="00254C24" w14:paraId="23DD0809" w14:textId="77777777">
        <w:trPr>
          <w:cantSplit/>
        </w:trPr>
        <w:tc>
          <w:tcPr>
            <w:tcW w:w="4293" w:type="dxa"/>
          </w:tcPr>
          <w:p w14:paraId="6B8D9798" w14:textId="77777777" w:rsidR="00254C24" w:rsidRDefault="00057471">
            <w:pPr>
              <w:keepNext/>
              <w:spacing w:after="0" w:line="240" w:lineRule="auto"/>
              <w:ind w:right="432"/>
            </w:pPr>
            <w:r>
              <w:t>Number of households supported through the acquisition of existing units</w:t>
            </w:r>
          </w:p>
        </w:tc>
        <w:tc>
          <w:tcPr>
            <w:tcW w:w="2648" w:type="dxa"/>
          </w:tcPr>
          <w:p w14:paraId="31FD91A3" w14:textId="77777777" w:rsidR="00254C24" w:rsidRDefault="00254C24">
            <w:pPr>
              <w:pStyle w:val="Caption"/>
              <w:keepNext/>
              <w:widowControl w:val="0"/>
              <w:rPr>
                <w:rFonts w:ascii="Calibri" w:hAnsi="Calibri"/>
                <w:sz w:val="22"/>
                <w:szCs w:val="22"/>
              </w:rPr>
            </w:pPr>
          </w:p>
        </w:tc>
        <w:tc>
          <w:tcPr>
            <w:tcW w:w="2649" w:type="dxa"/>
          </w:tcPr>
          <w:p w14:paraId="67C8F7F3" w14:textId="77777777" w:rsidR="00254C24" w:rsidRDefault="00254C24">
            <w:pPr>
              <w:pStyle w:val="Caption"/>
              <w:keepNext/>
              <w:widowControl w:val="0"/>
              <w:rPr>
                <w:rFonts w:ascii="Calibri" w:hAnsi="Calibri"/>
                <w:sz w:val="22"/>
                <w:szCs w:val="22"/>
              </w:rPr>
            </w:pPr>
          </w:p>
        </w:tc>
      </w:tr>
      <w:tr w:rsidR="00254C24" w14:paraId="29E9C51A" w14:textId="77777777">
        <w:trPr>
          <w:cantSplit/>
        </w:trPr>
        <w:tc>
          <w:tcPr>
            <w:tcW w:w="4293" w:type="dxa"/>
          </w:tcPr>
          <w:p w14:paraId="718A042E" w14:textId="77777777" w:rsidR="00254C24" w:rsidRDefault="00057471">
            <w:pPr>
              <w:keepNext/>
              <w:spacing w:after="0" w:line="240" w:lineRule="auto"/>
              <w:ind w:right="432"/>
              <w:rPr>
                <w:b/>
              </w:rPr>
            </w:pPr>
            <w:r>
              <w:rPr>
                <w:b/>
              </w:rPr>
              <w:t>Total</w:t>
            </w:r>
          </w:p>
        </w:tc>
        <w:tc>
          <w:tcPr>
            <w:tcW w:w="2648" w:type="dxa"/>
          </w:tcPr>
          <w:p w14:paraId="56CF3A6B" w14:textId="77777777" w:rsidR="00254C24" w:rsidRDefault="00254C24">
            <w:pPr>
              <w:pStyle w:val="Caption"/>
              <w:keepNext/>
              <w:widowControl w:val="0"/>
              <w:rPr>
                <w:rFonts w:ascii="Calibri" w:hAnsi="Calibri"/>
                <w:sz w:val="22"/>
                <w:szCs w:val="22"/>
              </w:rPr>
            </w:pPr>
          </w:p>
        </w:tc>
        <w:tc>
          <w:tcPr>
            <w:tcW w:w="2649" w:type="dxa"/>
          </w:tcPr>
          <w:p w14:paraId="6700EF50" w14:textId="77777777" w:rsidR="00254C24" w:rsidRDefault="00254C24">
            <w:pPr>
              <w:pStyle w:val="Caption"/>
              <w:keepNext/>
              <w:widowControl w:val="0"/>
              <w:rPr>
                <w:rFonts w:ascii="Calibri" w:hAnsi="Calibri"/>
                <w:sz w:val="22"/>
                <w:szCs w:val="22"/>
              </w:rPr>
            </w:pPr>
          </w:p>
        </w:tc>
      </w:tr>
    </w:tbl>
    <w:p w14:paraId="083B45A6" w14:textId="77777777" w:rsidR="00254C24" w:rsidRDefault="0005747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64EBA48E" w14:textId="77777777" w:rsidR="00254C24" w:rsidRDefault="00254C24">
      <w:pPr>
        <w:rPr>
          <w:rFonts w:cs="Arial"/>
        </w:rPr>
      </w:pPr>
    </w:p>
    <w:p w14:paraId="3F14BEB7" w14:textId="77777777" w:rsidR="00254C24" w:rsidRDefault="00254C24">
      <w:pPr>
        <w:rPr>
          <w:rFonts w:cs="Arial"/>
        </w:rPr>
      </w:pPr>
    </w:p>
    <w:p w14:paraId="19E5583C" w14:textId="77777777" w:rsidR="00254C24" w:rsidRDefault="00057471">
      <w:pPr>
        <w:widowControl w:val="0"/>
        <w:spacing w:line="204" w:lineRule="auto"/>
        <w:rPr>
          <w:b/>
          <w:sz w:val="24"/>
          <w:szCs w:val="24"/>
        </w:rPr>
      </w:pPr>
      <w:r>
        <w:rPr>
          <w:b/>
          <w:sz w:val="24"/>
          <w:szCs w:val="24"/>
        </w:rPr>
        <w:t>Discuss the difference between goals and outcomes and problems encountered in meeting these goals.</w:t>
      </w:r>
    </w:p>
    <w:p w14:paraId="0E76C2E7" w14:textId="77777777" w:rsidR="00254C24" w:rsidRDefault="00057471">
      <w:pPr>
        <w:widowControl w:val="0"/>
        <w:spacing w:line="204" w:lineRule="auto"/>
        <w:rPr>
          <w:b/>
          <w:sz w:val="24"/>
          <w:szCs w:val="24"/>
        </w:rPr>
      </w:pPr>
      <w:r>
        <w:rPr>
          <w:b/>
          <w:sz w:val="24"/>
          <w:szCs w:val="24"/>
        </w:rPr>
        <w:t>Discuss how these outcomes will impact future annual action plans.</w:t>
      </w:r>
    </w:p>
    <w:p w14:paraId="7D1FC7DE" w14:textId="77777777" w:rsidR="00254C24" w:rsidRDefault="00057471">
      <w:pPr>
        <w:keepNext/>
        <w:widowControl w:val="0"/>
        <w:spacing w:line="204" w:lineRule="auto"/>
        <w:rPr>
          <w:b/>
          <w:sz w:val="24"/>
          <w:szCs w:val="24"/>
        </w:rPr>
      </w:pPr>
      <w:r>
        <w:rPr>
          <w:b/>
          <w:sz w:val="24"/>
          <w:szCs w:val="24"/>
        </w:rPr>
        <w:t>Include the number of extremely low-income, low-income, and moderate-income persons served by each activity where information on income by family size is required to determine the eligibility of the activity.</w:t>
      </w:r>
    </w:p>
    <w:p w14:paraId="47439971" w14:textId="77777777" w:rsidR="00254C24" w:rsidRDefault="00254C24">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254C24" w14:paraId="2955751C" w14:textId="77777777">
        <w:trPr>
          <w:cantSplit/>
        </w:trPr>
        <w:tc>
          <w:tcPr>
            <w:tcW w:w="4081" w:type="dxa"/>
          </w:tcPr>
          <w:p w14:paraId="07625F64" w14:textId="77777777" w:rsidR="00254C24" w:rsidRDefault="00057471">
            <w:pPr>
              <w:keepNext/>
              <w:widowControl w:val="0"/>
              <w:spacing w:after="0" w:line="240" w:lineRule="auto"/>
              <w:jc w:val="center"/>
              <w:rPr>
                <w:b/>
              </w:rPr>
            </w:pPr>
            <w:proofErr w:type="gramStart"/>
            <w:r>
              <w:rPr>
                <w:b/>
              </w:rPr>
              <w:lastRenderedPageBreak/>
              <w:t>Number  of</w:t>
            </w:r>
            <w:proofErr w:type="gramEnd"/>
            <w:r>
              <w:rPr>
                <w:b/>
              </w:rPr>
              <w:t xml:space="preserve"> Households Served</w:t>
            </w:r>
          </w:p>
        </w:tc>
        <w:tc>
          <w:tcPr>
            <w:tcW w:w="1859" w:type="dxa"/>
          </w:tcPr>
          <w:p w14:paraId="63F242E9" w14:textId="77777777" w:rsidR="00254C24" w:rsidRDefault="00057471">
            <w:pPr>
              <w:keepNext/>
              <w:widowControl w:val="0"/>
              <w:spacing w:after="0" w:line="240" w:lineRule="auto"/>
              <w:jc w:val="center"/>
              <w:rPr>
                <w:b/>
              </w:rPr>
            </w:pPr>
            <w:r>
              <w:rPr>
                <w:b/>
              </w:rPr>
              <w:t>CDBG Actual</w:t>
            </w:r>
          </w:p>
        </w:tc>
        <w:tc>
          <w:tcPr>
            <w:tcW w:w="1915" w:type="dxa"/>
            <w:gridSpan w:val="2"/>
          </w:tcPr>
          <w:p w14:paraId="5FFDDEB3" w14:textId="77777777" w:rsidR="00254C24" w:rsidRDefault="00057471">
            <w:pPr>
              <w:keepNext/>
              <w:widowControl w:val="0"/>
              <w:spacing w:after="0" w:line="240" w:lineRule="auto"/>
              <w:jc w:val="center"/>
              <w:rPr>
                <w:b/>
              </w:rPr>
            </w:pPr>
            <w:r>
              <w:rPr>
                <w:b/>
              </w:rPr>
              <w:t>HOME Actual</w:t>
            </w:r>
          </w:p>
        </w:tc>
      </w:tr>
      <w:tr w:rsidR="00254C24" w14:paraId="2334BF93" w14:textId="77777777">
        <w:trPr>
          <w:gridAfter w:val="1"/>
          <w:wAfter w:w="25" w:type="dxa"/>
          <w:cantSplit/>
        </w:trPr>
        <w:tc>
          <w:tcPr>
            <w:tcW w:w="4081" w:type="dxa"/>
            <w:vAlign w:val="bottom"/>
          </w:tcPr>
          <w:p w14:paraId="4E7A8538" w14:textId="77777777" w:rsidR="00254C24" w:rsidRDefault="00057471">
            <w:pPr>
              <w:spacing w:beforeAutospacing="1" w:afterAutospacing="1"/>
            </w:pPr>
            <w:r>
              <w:rPr>
                <w:color w:val="000000"/>
              </w:rPr>
              <w:t>Extremely Low-income</w:t>
            </w:r>
          </w:p>
        </w:tc>
        <w:tc>
          <w:tcPr>
            <w:tcW w:w="1859" w:type="dxa"/>
            <w:vAlign w:val="bottom"/>
          </w:tcPr>
          <w:p w14:paraId="4D558B36" w14:textId="77777777" w:rsidR="00254C24" w:rsidRDefault="00057471">
            <w:pPr>
              <w:spacing w:beforeAutospacing="1" w:afterAutospacing="1"/>
              <w:jc w:val="right"/>
            </w:pPr>
            <w:r>
              <w:rPr>
                <w:color w:val="000000"/>
              </w:rPr>
              <w:t>0</w:t>
            </w:r>
          </w:p>
        </w:tc>
        <w:tc>
          <w:tcPr>
            <w:tcW w:w="1890" w:type="dxa"/>
            <w:vAlign w:val="bottom"/>
          </w:tcPr>
          <w:p w14:paraId="65CA7699" w14:textId="77777777" w:rsidR="00254C24" w:rsidRDefault="00057471">
            <w:pPr>
              <w:spacing w:beforeAutospacing="1" w:afterAutospacing="1"/>
              <w:jc w:val="right"/>
            </w:pPr>
            <w:r>
              <w:rPr>
                <w:color w:val="000000"/>
              </w:rPr>
              <w:t>0</w:t>
            </w:r>
          </w:p>
        </w:tc>
      </w:tr>
      <w:tr w:rsidR="00254C24" w14:paraId="19A36BA7" w14:textId="77777777">
        <w:trPr>
          <w:gridAfter w:val="1"/>
          <w:wAfter w:w="25" w:type="dxa"/>
          <w:cantSplit/>
        </w:trPr>
        <w:tc>
          <w:tcPr>
            <w:tcW w:w="4081" w:type="dxa"/>
            <w:vAlign w:val="bottom"/>
          </w:tcPr>
          <w:p w14:paraId="39A624C6" w14:textId="77777777" w:rsidR="00254C24" w:rsidRDefault="00057471">
            <w:pPr>
              <w:spacing w:beforeAutospacing="1" w:afterAutospacing="1"/>
            </w:pPr>
            <w:r>
              <w:rPr>
                <w:color w:val="000000"/>
              </w:rPr>
              <w:t>Low-income</w:t>
            </w:r>
          </w:p>
        </w:tc>
        <w:tc>
          <w:tcPr>
            <w:tcW w:w="1859" w:type="dxa"/>
            <w:vAlign w:val="bottom"/>
          </w:tcPr>
          <w:p w14:paraId="35DD8683" w14:textId="77777777" w:rsidR="00254C24" w:rsidRDefault="00057471">
            <w:pPr>
              <w:spacing w:beforeAutospacing="1" w:afterAutospacing="1"/>
              <w:jc w:val="right"/>
            </w:pPr>
            <w:r>
              <w:rPr>
                <w:color w:val="000000"/>
              </w:rPr>
              <w:t>0</w:t>
            </w:r>
          </w:p>
        </w:tc>
        <w:tc>
          <w:tcPr>
            <w:tcW w:w="1890" w:type="dxa"/>
            <w:vAlign w:val="bottom"/>
          </w:tcPr>
          <w:p w14:paraId="0E7E2D7A" w14:textId="77777777" w:rsidR="00254C24" w:rsidRDefault="00057471">
            <w:pPr>
              <w:spacing w:beforeAutospacing="1" w:afterAutospacing="1"/>
              <w:jc w:val="right"/>
            </w:pPr>
            <w:r>
              <w:rPr>
                <w:color w:val="000000"/>
              </w:rPr>
              <w:t>0</w:t>
            </w:r>
          </w:p>
        </w:tc>
      </w:tr>
      <w:tr w:rsidR="00254C24" w14:paraId="4AEB34CA" w14:textId="77777777">
        <w:trPr>
          <w:gridAfter w:val="1"/>
          <w:wAfter w:w="25" w:type="dxa"/>
          <w:cantSplit/>
        </w:trPr>
        <w:tc>
          <w:tcPr>
            <w:tcW w:w="4081" w:type="dxa"/>
            <w:vAlign w:val="bottom"/>
          </w:tcPr>
          <w:p w14:paraId="2D65A057" w14:textId="77777777" w:rsidR="00254C24" w:rsidRDefault="00057471">
            <w:pPr>
              <w:spacing w:beforeAutospacing="1" w:afterAutospacing="1"/>
            </w:pPr>
            <w:r>
              <w:rPr>
                <w:color w:val="000000"/>
              </w:rPr>
              <w:t>Moderate-income</w:t>
            </w:r>
          </w:p>
        </w:tc>
        <w:tc>
          <w:tcPr>
            <w:tcW w:w="1859" w:type="dxa"/>
            <w:vAlign w:val="bottom"/>
          </w:tcPr>
          <w:p w14:paraId="2EC4E5B3" w14:textId="77777777" w:rsidR="00254C24" w:rsidRDefault="00057471">
            <w:pPr>
              <w:spacing w:beforeAutospacing="1" w:afterAutospacing="1"/>
              <w:jc w:val="right"/>
            </w:pPr>
            <w:r>
              <w:rPr>
                <w:color w:val="000000"/>
              </w:rPr>
              <w:t>0</w:t>
            </w:r>
          </w:p>
        </w:tc>
        <w:tc>
          <w:tcPr>
            <w:tcW w:w="1890" w:type="dxa"/>
            <w:vAlign w:val="bottom"/>
          </w:tcPr>
          <w:p w14:paraId="52ACD16D" w14:textId="77777777" w:rsidR="00254C24" w:rsidRDefault="00057471">
            <w:pPr>
              <w:spacing w:beforeAutospacing="1" w:afterAutospacing="1"/>
              <w:jc w:val="right"/>
            </w:pPr>
            <w:r>
              <w:rPr>
                <w:color w:val="000000"/>
              </w:rPr>
              <w:t>0</w:t>
            </w:r>
          </w:p>
        </w:tc>
      </w:tr>
      <w:tr w:rsidR="00254C24" w14:paraId="12E90110" w14:textId="77777777">
        <w:trPr>
          <w:gridAfter w:val="1"/>
          <w:wAfter w:w="25" w:type="dxa"/>
          <w:cantSplit/>
        </w:trPr>
        <w:tc>
          <w:tcPr>
            <w:tcW w:w="4081" w:type="dxa"/>
            <w:vAlign w:val="bottom"/>
          </w:tcPr>
          <w:p w14:paraId="3C54FC54" w14:textId="77777777" w:rsidR="00254C24" w:rsidRDefault="00057471">
            <w:pPr>
              <w:spacing w:beforeAutospacing="1" w:afterAutospacing="1"/>
            </w:pPr>
            <w:r>
              <w:rPr>
                <w:b/>
                <w:color w:val="000000"/>
              </w:rPr>
              <w:t>Total</w:t>
            </w:r>
          </w:p>
        </w:tc>
        <w:tc>
          <w:tcPr>
            <w:tcW w:w="1859" w:type="dxa"/>
            <w:vAlign w:val="bottom"/>
          </w:tcPr>
          <w:p w14:paraId="2360FF47" w14:textId="77777777" w:rsidR="00254C24" w:rsidRDefault="00057471">
            <w:pPr>
              <w:spacing w:beforeAutospacing="1" w:afterAutospacing="1"/>
              <w:jc w:val="right"/>
            </w:pPr>
            <w:r>
              <w:rPr>
                <w:b/>
                <w:color w:val="000000"/>
              </w:rPr>
              <w:t>0</w:t>
            </w:r>
          </w:p>
        </w:tc>
        <w:tc>
          <w:tcPr>
            <w:tcW w:w="1890" w:type="dxa"/>
            <w:vAlign w:val="bottom"/>
          </w:tcPr>
          <w:p w14:paraId="5B2E1BAF" w14:textId="77777777" w:rsidR="00254C24" w:rsidRDefault="00057471">
            <w:pPr>
              <w:spacing w:beforeAutospacing="1" w:afterAutospacing="1"/>
              <w:jc w:val="right"/>
            </w:pPr>
            <w:r>
              <w:rPr>
                <w:b/>
                <w:color w:val="000000"/>
              </w:rPr>
              <w:t>0</w:t>
            </w:r>
          </w:p>
        </w:tc>
      </w:tr>
    </w:tbl>
    <w:p w14:paraId="0FDA794A" w14:textId="77777777" w:rsidR="00254C24" w:rsidRDefault="0005747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4B6BC162" w14:textId="77777777" w:rsidR="00254C24" w:rsidRDefault="00254C24">
      <w:pPr>
        <w:widowControl w:val="0"/>
        <w:spacing w:line="204" w:lineRule="auto"/>
        <w:rPr>
          <w:b/>
          <w:sz w:val="24"/>
          <w:szCs w:val="24"/>
        </w:rPr>
      </w:pPr>
    </w:p>
    <w:p w14:paraId="7FE69A99" w14:textId="77777777" w:rsidR="00254C24" w:rsidRDefault="00254C24">
      <w:pPr>
        <w:widowControl w:val="0"/>
        <w:spacing w:line="204" w:lineRule="auto"/>
        <w:rPr>
          <w:b/>
          <w:sz w:val="24"/>
          <w:szCs w:val="24"/>
        </w:rPr>
      </w:pPr>
    </w:p>
    <w:p w14:paraId="4CC5E328" w14:textId="77777777" w:rsidR="00254C24" w:rsidRDefault="00057471">
      <w:pPr>
        <w:widowControl w:val="0"/>
        <w:spacing w:line="204" w:lineRule="auto"/>
        <w:rPr>
          <w:b/>
          <w:sz w:val="24"/>
          <w:szCs w:val="24"/>
        </w:rPr>
      </w:pPr>
      <w:r>
        <w:rPr>
          <w:b/>
          <w:sz w:val="24"/>
          <w:szCs w:val="24"/>
        </w:rPr>
        <w:t>Narrative Information</w:t>
      </w:r>
    </w:p>
    <w:p w14:paraId="5EA84DDF" w14:textId="77777777" w:rsidR="00254C24" w:rsidRDefault="00254C24">
      <w:pPr>
        <w:rPr>
          <w:rFonts w:cs="Arial"/>
        </w:rPr>
      </w:pPr>
    </w:p>
    <w:p w14:paraId="79C043C4" w14:textId="77777777" w:rsidR="00254C24" w:rsidRDefault="00254C24">
      <w:pPr>
        <w:pStyle w:val="Heading2"/>
        <w:pageBreakBefore/>
        <w:rPr>
          <w:rFonts w:ascii="Calibri" w:hAnsi="Calibri"/>
          <w:i w:val="0"/>
        </w:rPr>
        <w:sectPr w:rsidR="00254C24">
          <w:pgSz w:w="12240" w:h="15840" w:code="1"/>
          <w:pgMar w:top="1440" w:right="1440" w:bottom="1440" w:left="1440" w:header="720" w:footer="720" w:gutter="0"/>
          <w:cols w:space="720"/>
          <w:docGrid w:linePitch="360"/>
        </w:sectPr>
      </w:pPr>
    </w:p>
    <w:bookmarkEnd w:id="2"/>
    <w:p w14:paraId="5FF4BBA6" w14:textId="77777777" w:rsidR="00254C24" w:rsidRDefault="00057471">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4ACFBC7A" w14:textId="77777777" w:rsidR="00254C24" w:rsidRDefault="00057471">
      <w:pPr>
        <w:keepNext/>
        <w:widowControl w:val="0"/>
        <w:rPr>
          <w:b/>
          <w:sz w:val="24"/>
          <w:szCs w:val="24"/>
        </w:rPr>
      </w:pPr>
      <w:r>
        <w:rPr>
          <w:b/>
          <w:sz w:val="24"/>
          <w:szCs w:val="24"/>
        </w:rPr>
        <w:t>Evaluate the jurisdiction’s progress in meeting its specific objectives for reducing and ending homelessness through:</w:t>
      </w:r>
    </w:p>
    <w:p w14:paraId="1E7E60C0" w14:textId="77777777" w:rsidR="00254C24" w:rsidRDefault="00057471">
      <w:pPr>
        <w:widowControl w:val="0"/>
        <w:rPr>
          <w:b/>
          <w:sz w:val="24"/>
          <w:szCs w:val="24"/>
        </w:rPr>
      </w:pPr>
      <w:r>
        <w:rPr>
          <w:b/>
          <w:sz w:val="24"/>
          <w:szCs w:val="24"/>
        </w:rPr>
        <w:t>Reaching out to homeless persons (especially unsheltered persons) and assessing their individual needs</w:t>
      </w:r>
    </w:p>
    <w:p w14:paraId="715263B7" w14:textId="77777777" w:rsidR="00254C24" w:rsidRDefault="00057471">
      <w:pPr>
        <w:widowControl w:val="0"/>
        <w:rPr>
          <w:b/>
          <w:sz w:val="24"/>
          <w:szCs w:val="24"/>
        </w:rPr>
      </w:pPr>
      <w:r>
        <w:rPr>
          <w:b/>
          <w:sz w:val="24"/>
          <w:szCs w:val="24"/>
        </w:rPr>
        <w:t>Addressing the emergency shelter and transitional housing needs of homeless persons</w:t>
      </w:r>
    </w:p>
    <w:p w14:paraId="00C845A4" w14:textId="77777777" w:rsidR="00254C24" w:rsidRDefault="00057471">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14:paraId="1E245642" w14:textId="77777777" w:rsidR="00254C24" w:rsidRDefault="00057471">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730DE5DC" w14:textId="77777777" w:rsidR="00254C24" w:rsidRDefault="00254C24">
      <w:pPr>
        <w:widowControl w:val="0"/>
        <w:rPr>
          <w:rFonts w:cs="Arial"/>
          <w:szCs w:val="26"/>
        </w:rPr>
      </w:pPr>
    </w:p>
    <w:p w14:paraId="773823FD" w14:textId="77777777" w:rsidR="00254C24" w:rsidRDefault="00057471">
      <w:pPr>
        <w:pStyle w:val="Heading2"/>
        <w:pageBreakBefore/>
        <w:widowControl w:val="0"/>
        <w:rPr>
          <w:rFonts w:ascii="Calibri" w:hAnsi="Calibri"/>
          <w:i w:val="0"/>
        </w:rPr>
      </w:pPr>
      <w:r>
        <w:rPr>
          <w:rFonts w:ascii="Calibri" w:hAnsi="Calibri"/>
          <w:i w:val="0"/>
        </w:rPr>
        <w:lastRenderedPageBreak/>
        <w:t>CR-30 - Public Housing 91.220(h); 91.320(j)</w:t>
      </w:r>
    </w:p>
    <w:p w14:paraId="3FC99B45" w14:textId="77777777" w:rsidR="00254C24" w:rsidRDefault="00057471">
      <w:pPr>
        <w:keepNext/>
        <w:widowControl w:val="0"/>
        <w:rPr>
          <w:b/>
          <w:sz w:val="24"/>
          <w:szCs w:val="24"/>
        </w:rPr>
      </w:pPr>
      <w:r>
        <w:rPr>
          <w:b/>
          <w:sz w:val="24"/>
          <w:szCs w:val="24"/>
        </w:rPr>
        <w:t>Actions taken to address the needs of public housing</w:t>
      </w:r>
    </w:p>
    <w:p w14:paraId="3456715F" w14:textId="77777777" w:rsidR="00254C24" w:rsidRDefault="00057471">
      <w:pPr>
        <w:widowControl w:val="0"/>
        <w:rPr>
          <w:b/>
          <w:sz w:val="24"/>
          <w:szCs w:val="24"/>
        </w:rPr>
      </w:pPr>
      <w:r>
        <w:rPr>
          <w:b/>
          <w:sz w:val="24"/>
          <w:szCs w:val="24"/>
        </w:rPr>
        <w:t>Actions taken to encourage public housing residents to become more involved in management and participate in homeownership</w:t>
      </w:r>
    </w:p>
    <w:p w14:paraId="7348120A" w14:textId="77777777" w:rsidR="00254C24" w:rsidRDefault="00057471">
      <w:pPr>
        <w:widowControl w:val="0"/>
        <w:rPr>
          <w:b/>
          <w:sz w:val="24"/>
          <w:szCs w:val="24"/>
        </w:rPr>
      </w:pPr>
      <w:r>
        <w:rPr>
          <w:b/>
          <w:sz w:val="24"/>
          <w:szCs w:val="24"/>
        </w:rPr>
        <w:t xml:space="preserve">Actions taken to </w:t>
      </w:r>
      <w:proofErr w:type="gramStart"/>
      <w:r>
        <w:rPr>
          <w:b/>
          <w:sz w:val="24"/>
          <w:szCs w:val="24"/>
        </w:rPr>
        <w:t>provide assistance to</w:t>
      </w:r>
      <w:proofErr w:type="gramEnd"/>
      <w:r>
        <w:rPr>
          <w:b/>
          <w:sz w:val="24"/>
          <w:szCs w:val="24"/>
        </w:rPr>
        <w:t xml:space="preserve"> troubled PHAs</w:t>
      </w:r>
    </w:p>
    <w:p w14:paraId="2EE9033E" w14:textId="77777777" w:rsidR="00254C24" w:rsidRDefault="00057471">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14:paraId="3C2E33DF" w14:textId="77777777" w:rsidR="00254C24" w:rsidRDefault="00057471">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14:paraId="5388BD64" w14:textId="77777777" w:rsidR="00254C24" w:rsidRDefault="00057471">
      <w:pPr>
        <w:widowControl w:val="0"/>
        <w:rPr>
          <w:b/>
          <w:sz w:val="24"/>
          <w:szCs w:val="24"/>
        </w:rPr>
      </w:pPr>
      <w:r>
        <w:rPr>
          <w:b/>
          <w:sz w:val="24"/>
          <w:szCs w:val="24"/>
        </w:rPr>
        <w:t>Actions taken to address obstacles to meeting underserved needs.  91.220(k); 91.320(j)</w:t>
      </w:r>
    </w:p>
    <w:p w14:paraId="3FD674D4" w14:textId="77777777" w:rsidR="00254C24" w:rsidRDefault="00057471">
      <w:pPr>
        <w:widowControl w:val="0"/>
        <w:rPr>
          <w:b/>
          <w:sz w:val="24"/>
          <w:szCs w:val="24"/>
        </w:rPr>
      </w:pPr>
      <w:r>
        <w:rPr>
          <w:b/>
          <w:sz w:val="24"/>
          <w:szCs w:val="24"/>
        </w:rPr>
        <w:t>Actions taken to reduce lead-based paint hazards. 91.220(k); 91.320(j)</w:t>
      </w:r>
    </w:p>
    <w:p w14:paraId="214CB824" w14:textId="77777777" w:rsidR="00254C24" w:rsidRDefault="00057471">
      <w:pPr>
        <w:widowControl w:val="0"/>
        <w:rPr>
          <w:b/>
          <w:sz w:val="24"/>
          <w:szCs w:val="24"/>
        </w:rPr>
      </w:pPr>
      <w:r>
        <w:rPr>
          <w:b/>
          <w:sz w:val="24"/>
          <w:szCs w:val="24"/>
        </w:rPr>
        <w:t>Actions taken to reduce the number of poverty-level families. 91.220(k); 91.320(j)</w:t>
      </w:r>
    </w:p>
    <w:p w14:paraId="17410FBA" w14:textId="77777777" w:rsidR="00254C24" w:rsidRDefault="00057471">
      <w:pPr>
        <w:widowControl w:val="0"/>
        <w:rPr>
          <w:b/>
          <w:sz w:val="24"/>
          <w:szCs w:val="24"/>
        </w:rPr>
      </w:pPr>
      <w:r>
        <w:rPr>
          <w:b/>
          <w:sz w:val="24"/>
          <w:szCs w:val="24"/>
        </w:rPr>
        <w:t>Actions taken to develop institutional structure. 91.220(k); 91.320(j)</w:t>
      </w:r>
    </w:p>
    <w:p w14:paraId="36051376" w14:textId="77777777" w:rsidR="00254C24" w:rsidRDefault="00057471">
      <w:pPr>
        <w:widowControl w:val="0"/>
        <w:rPr>
          <w:b/>
          <w:sz w:val="24"/>
          <w:szCs w:val="24"/>
        </w:rPr>
      </w:pPr>
      <w:r>
        <w:rPr>
          <w:b/>
          <w:sz w:val="24"/>
          <w:szCs w:val="24"/>
        </w:rPr>
        <w:t>Actions taken to enhance coordination between public and private housing and social service agencies. 91.220(k); 91.320(j)</w:t>
      </w:r>
    </w:p>
    <w:p w14:paraId="7BC854E1" w14:textId="77777777" w:rsidR="00254C24" w:rsidRDefault="00057471">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4F6D32B9" w14:textId="77777777" w:rsidR="00254C24" w:rsidRDefault="00057471">
      <w:pPr>
        <w:pStyle w:val="Heading2"/>
        <w:pageBreakBefore/>
        <w:widowControl w:val="0"/>
        <w:rPr>
          <w:rFonts w:ascii="Calibri" w:hAnsi="Calibri"/>
          <w:i w:val="0"/>
        </w:rPr>
      </w:pPr>
      <w:r>
        <w:rPr>
          <w:rFonts w:ascii="Calibri" w:hAnsi="Calibri"/>
          <w:i w:val="0"/>
        </w:rPr>
        <w:lastRenderedPageBreak/>
        <w:t>CR-40 - Monitoring 91.220 and 91.230</w:t>
      </w:r>
    </w:p>
    <w:p w14:paraId="2B3FCE22" w14:textId="77777777" w:rsidR="00254C24" w:rsidRDefault="00057471">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49D3A98B" w14:textId="77777777" w:rsidR="00254C24" w:rsidRDefault="00254C24">
      <w:pPr>
        <w:widowControl w:val="0"/>
        <w:rPr>
          <w:rFonts w:cs="Arial"/>
        </w:rPr>
      </w:pPr>
    </w:p>
    <w:p w14:paraId="581C265E" w14:textId="77777777" w:rsidR="00254C24" w:rsidRDefault="00254C24">
      <w:pPr>
        <w:widowControl w:val="0"/>
        <w:rPr>
          <w:rFonts w:cs="Arial"/>
        </w:rPr>
      </w:pPr>
    </w:p>
    <w:p w14:paraId="4AF8BB11" w14:textId="77777777" w:rsidR="00254C24" w:rsidRDefault="00254C24">
      <w:pPr>
        <w:widowControl w:val="0"/>
        <w:rPr>
          <w:rFonts w:cs="Arial"/>
        </w:rPr>
      </w:pPr>
    </w:p>
    <w:p w14:paraId="432D49A0" w14:textId="77777777" w:rsidR="00254C24" w:rsidRDefault="00057471">
      <w:pPr>
        <w:widowControl w:val="0"/>
        <w:rPr>
          <w:b/>
          <w:sz w:val="24"/>
          <w:szCs w:val="24"/>
        </w:rPr>
      </w:pPr>
      <w:r>
        <w:rPr>
          <w:b/>
          <w:sz w:val="24"/>
          <w:szCs w:val="24"/>
        </w:rPr>
        <w:t>Citizen Participation Plan 91.105(d); 91.115(d)</w:t>
      </w:r>
    </w:p>
    <w:p w14:paraId="3B6E5FC8" w14:textId="77777777" w:rsidR="00254C24" w:rsidRDefault="00057471">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145D61A3" w14:textId="77777777" w:rsidR="00254C24" w:rsidRDefault="00057471">
      <w:pPr>
        <w:rPr>
          <w:b/>
          <w:i/>
          <w:sz w:val="28"/>
          <w:szCs w:val="28"/>
        </w:rPr>
      </w:pPr>
      <w:r>
        <w:rPr>
          <w:b/>
          <w:sz w:val="28"/>
          <w:szCs w:val="28"/>
        </w:rPr>
        <w:t>CR-45 - CDBG 91.520(c)</w:t>
      </w:r>
    </w:p>
    <w:p w14:paraId="5D7765DB" w14:textId="77777777" w:rsidR="00254C24" w:rsidRDefault="00057471">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14:paraId="488B72E0" w14:textId="77777777" w:rsidR="00254C24" w:rsidRDefault="00057471">
      <w:pPr>
        <w:widowControl w:val="0"/>
        <w:rPr>
          <w:b/>
          <w:sz w:val="24"/>
          <w:szCs w:val="24"/>
        </w:rPr>
      </w:pPr>
      <w:r>
        <w:rPr>
          <w:b/>
          <w:sz w:val="24"/>
          <w:szCs w:val="24"/>
        </w:rPr>
        <w:t>Does this Jurisdiction have any open Brownfields Economic Development Initiative (BEDI) grants?</w:t>
      </w:r>
    </w:p>
    <w:p w14:paraId="28C2DFEE" w14:textId="77777777" w:rsidR="00254C24" w:rsidRDefault="00057471">
      <w:pPr>
        <w:widowControl w:val="0"/>
        <w:rPr>
          <w:b/>
          <w:sz w:val="24"/>
          <w:szCs w:val="24"/>
        </w:rPr>
      </w:pPr>
      <w:r>
        <w:rPr>
          <w:b/>
          <w:sz w:val="24"/>
          <w:szCs w:val="24"/>
        </w:rPr>
        <w:t xml:space="preserve"> [BEDI </w:t>
      </w:r>
      <w:proofErr w:type="gramStart"/>
      <w:r>
        <w:rPr>
          <w:b/>
          <w:sz w:val="24"/>
          <w:szCs w:val="24"/>
        </w:rPr>
        <w:t>grantees]  Describe</w:t>
      </w:r>
      <w:proofErr w:type="gramEnd"/>
      <w:r>
        <w:rPr>
          <w:b/>
          <w:sz w:val="24"/>
          <w:szCs w:val="24"/>
        </w:rPr>
        <w:t xml:space="preserve"> accomplishments and program outcomes during the last year.</w:t>
      </w:r>
    </w:p>
    <w:p w14:paraId="57157E28" w14:textId="77777777" w:rsidR="00254C24" w:rsidRDefault="00254C24"/>
    <w:p w14:paraId="6E95B66B" w14:textId="77777777" w:rsidR="00254C24" w:rsidRDefault="00057471">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00842AAD" w14:textId="77777777" w:rsidR="00254C24" w:rsidRDefault="00057471">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14:paraId="6965CF70" w14:textId="77777777" w:rsidR="00254C24" w:rsidRDefault="00057471">
      <w:pPr>
        <w:widowControl w:val="0"/>
        <w:rPr>
          <w:b/>
          <w:sz w:val="24"/>
          <w:szCs w:val="24"/>
        </w:rPr>
      </w:pPr>
      <w:r>
        <w:rPr>
          <w:b/>
          <w:sz w:val="24"/>
          <w:szCs w:val="24"/>
        </w:rPr>
        <w:t>Does this Jurisdiction have any open Brownfields Economic Development Initiative (BEDI) grants?</w:t>
      </w:r>
    </w:p>
    <w:p w14:paraId="01D3FC6B" w14:textId="77777777" w:rsidR="00254C24" w:rsidRDefault="00057471">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14:paraId="3C87560F" w14:textId="77777777" w:rsidR="00254C24" w:rsidRDefault="00254C24"/>
    <w:p w14:paraId="2EFD5857" w14:textId="77777777" w:rsidR="00254C24" w:rsidRDefault="00254C24"/>
    <w:p w14:paraId="4832D8BF" w14:textId="77777777" w:rsidR="00254C24" w:rsidRDefault="00057471">
      <w:pPr>
        <w:pStyle w:val="Heading2"/>
        <w:keepNext w:val="0"/>
        <w:pageBreakBefore/>
        <w:widowControl w:val="0"/>
        <w:rPr>
          <w:rFonts w:ascii="Calibri" w:hAnsi="Calibri"/>
          <w:i w:val="0"/>
        </w:rPr>
      </w:pPr>
      <w:r>
        <w:rPr>
          <w:rFonts w:ascii="Calibri" w:hAnsi="Calibri"/>
          <w:i w:val="0"/>
        </w:rPr>
        <w:lastRenderedPageBreak/>
        <w:t>CR-58 – Section 3</w:t>
      </w:r>
    </w:p>
    <w:p w14:paraId="61B1FABD" w14:textId="77777777" w:rsidR="00254C24" w:rsidRDefault="00057471">
      <w:pPr>
        <w:widowControl w:val="0"/>
        <w:rPr>
          <w:b/>
          <w:sz w:val="24"/>
          <w:szCs w:val="24"/>
        </w:rPr>
      </w:pPr>
      <w:r>
        <w:rPr>
          <w:b/>
          <w:sz w:val="24"/>
          <w:szCs w:val="24"/>
        </w:rPr>
        <w:t xml:space="preserve">Identify the number of individuals assisted and the types of assistance provided </w:t>
      </w:r>
    </w:p>
    <w:p w14:paraId="03ED1F52" w14:textId="77777777" w:rsidR="00254C24" w:rsidRDefault="00254C24">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254C24" w14:paraId="709B7485" w14:textId="77777777">
        <w:trPr>
          <w:cantSplit/>
        </w:trPr>
        <w:tc>
          <w:tcPr>
            <w:tcW w:w="5490" w:type="dxa"/>
          </w:tcPr>
          <w:p w14:paraId="3AD74D87" w14:textId="77777777" w:rsidR="00254C24" w:rsidRDefault="00057471">
            <w:pPr>
              <w:keepNext/>
              <w:widowControl w:val="0"/>
              <w:tabs>
                <w:tab w:val="left" w:pos="2070"/>
              </w:tabs>
              <w:spacing w:after="0" w:line="240" w:lineRule="auto"/>
              <w:ind w:right="162"/>
              <w:jc w:val="center"/>
              <w:rPr>
                <w:b/>
              </w:rPr>
            </w:pPr>
            <w:r>
              <w:rPr>
                <w:b/>
              </w:rPr>
              <w:t>Total Labor Hours</w:t>
            </w:r>
          </w:p>
        </w:tc>
        <w:tc>
          <w:tcPr>
            <w:tcW w:w="810" w:type="dxa"/>
          </w:tcPr>
          <w:p w14:paraId="70C60B7B" w14:textId="77777777" w:rsidR="00254C24" w:rsidRDefault="00057471">
            <w:pPr>
              <w:keepNext/>
              <w:widowControl w:val="0"/>
              <w:spacing w:after="0" w:line="240" w:lineRule="auto"/>
              <w:jc w:val="center"/>
              <w:rPr>
                <w:b/>
              </w:rPr>
            </w:pPr>
            <w:r>
              <w:rPr>
                <w:b/>
              </w:rPr>
              <w:t>CDBG</w:t>
            </w:r>
          </w:p>
        </w:tc>
        <w:tc>
          <w:tcPr>
            <w:tcW w:w="900" w:type="dxa"/>
          </w:tcPr>
          <w:p w14:paraId="78B36CE9" w14:textId="77777777" w:rsidR="00254C24" w:rsidRDefault="00057471">
            <w:pPr>
              <w:keepNext/>
              <w:widowControl w:val="0"/>
              <w:spacing w:after="0" w:line="240" w:lineRule="auto"/>
              <w:jc w:val="center"/>
              <w:rPr>
                <w:b/>
              </w:rPr>
            </w:pPr>
            <w:r>
              <w:rPr>
                <w:b/>
              </w:rPr>
              <w:t>HOME</w:t>
            </w:r>
          </w:p>
        </w:tc>
        <w:tc>
          <w:tcPr>
            <w:tcW w:w="720" w:type="dxa"/>
          </w:tcPr>
          <w:p w14:paraId="166610F8" w14:textId="77777777" w:rsidR="00254C24" w:rsidRDefault="00057471">
            <w:pPr>
              <w:keepNext/>
              <w:widowControl w:val="0"/>
              <w:spacing w:after="0" w:line="240" w:lineRule="auto"/>
              <w:rPr>
                <w:b/>
              </w:rPr>
            </w:pPr>
            <w:r>
              <w:rPr>
                <w:b/>
              </w:rPr>
              <w:t>ESG</w:t>
            </w:r>
          </w:p>
        </w:tc>
        <w:tc>
          <w:tcPr>
            <w:tcW w:w="990" w:type="dxa"/>
          </w:tcPr>
          <w:p w14:paraId="64A5CA57" w14:textId="77777777" w:rsidR="00254C24" w:rsidRDefault="00057471">
            <w:pPr>
              <w:keepNext/>
              <w:widowControl w:val="0"/>
              <w:spacing w:after="0" w:line="240" w:lineRule="auto"/>
              <w:jc w:val="center"/>
              <w:rPr>
                <w:b/>
              </w:rPr>
            </w:pPr>
            <w:r>
              <w:rPr>
                <w:b/>
              </w:rPr>
              <w:t>HOPWA</w:t>
            </w:r>
          </w:p>
        </w:tc>
        <w:tc>
          <w:tcPr>
            <w:tcW w:w="720" w:type="dxa"/>
          </w:tcPr>
          <w:p w14:paraId="47505A0D" w14:textId="77777777" w:rsidR="00254C24" w:rsidRDefault="00057471">
            <w:pPr>
              <w:keepNext/>
              <w:widowControl w:val="0"/>
              <w:spacing w:after="0" w:line="240" w:lineRule="auto"/>
              <w:jc w:val="center"/>
              <w:rPr>
                <w:b/>
              </w:rPr>
            </w:pPr>
            <w:r>
              <w:rPr>
                <w:b/>
              </w:rPr>
              <w:t>HTF</w:t>
            </w:r>
          </w:p>
        </w:tc>
      </w:tr>
      <w:tr w:rsidR="00254C24" w14:paraId="208B7B9A" w14:textId="77777777">
        <w:trPr>
          <w:cantSplit/>
        </w:trPr>
        <w:tc>
          <w:tcPr>
            <w:tcW w:w="5490" w:type="dxa"/>
            <w:vAlign w:val="center"/>
          </w:tcPr>
          <w:p w14:paraId="16D1FD51" w14:textId="77777777" w:rsidR="00254C24" w:rsidRDefault="00057471">
            <w:pPr>
              <w:spacing w:beforeAutospacing="1" w:afterAutospacing="1"/>
            </w:pPr>
            <w:r>
              <w:rPr>
                <w:rFonts w:ascii="Arial" w:hAnsi="Arial"/>
                <w:color w:val="25396E"/>
                <w:sz w:val="16"/>
              </w:rPr>
              <w:t>Total Number of Activities</w:t>
            </w:r>
          </w:p>
        </w:tc>
        <w:tc>
          <w:tcPr>
            <w:tcW w:w="810" w:type="dxa"/>
            <w:vAlign w:val="center"/>
          </w:tcPr>
          <w:p w14:paraId="10EFCE97" w14:textId="77777777" w:rsidR="00254C24" w:rsidRDefault="00057471">
            <w:pPr>
              <w:spacing w:beforeAutospacing="1" w:afterAutospacing="1"/>
              <w:jc w:val="right"/>
            </w:pPr>
            <w:r>
              <w:rPr>
                <w:rFonts w:ascii="Arial" w:hAnsi="Arial"/>
                <w:color w:val="000000"/>
                <w:sz w:val="16"/>
              </w:rPr>
              <w:t>0</w:t>
            </w:r>
          </w:p>
        </w:tc>
        <w:tc>
          <w:tcPr>
            <w:tcW w:w="900" w:type="dxa"/>
            <w:vAlign w:val="center"/>
          </w:tcPr>
          <w:p w14:paraId="5AD5393E" w14:textId="77777777" w:rsidR="00254C24" w:rsidRDefault="00057471">
            <w:pPr>
              <w:spacing w:beforeAutospacing="1" w:afterAutospacing="1"/>
              <w:jc w:val="right"/>
            </w:pPr>
            <w:r>
              <w:rPr>
                <w:rFonts w:ascii="Arial" w:hAnsi="Arial"/>
                <w:color w:val="000000"/>
                <w:sz w:val="16"/>
              </w:rPr>
              <w:t>0</w:t>
            </w:r>
          </w:p>
        </w:tc>
        <w:tc>
          <w:tcPr>
            <w:tcW w:w="720" w:type="dxa"/>
            <w:vAlign w:val="center"/>
          </w:tcPr>
          <w:p w14:paraId="4101D6D1" w14:textId="77777777" w:rsidR="00254C24" w:rsidRDefault="00057471">
            <w:pPr>
              <w:spacing w:beforeAutospacing="1" w:afterAutospacing="1"/>
              <w:jc w:val="right"/>
            </w:pPr>
            <w:r>
              <w:rPr>
                <w:rFonts w:ascii="Arial" w:hAnsi="Arial"/>
                <w:color w:val="000000"/>
                <w:sz w:val="16"/>
              </w:rPr>
              <w:t>0</w:t>
            </w:r>
          </w:p>
        </w:tc>
        <w:tc>
          <w:tcPr>
            <w:tcW w:w="990" w:type="dxa"/>
            <w:vAlign w:val="center"/>
          </w:tcPr>
          <w:p w14:paraId="7E9ADADA" w14:textId="77777777" w:rsidR="00254C24" w:rsidRDefault="00057471">
            <w:pPr>
              <w:spacing w:beforeAutospacing="1" w:afterAutospacing="1"/>
              <w:jc w:val="right"/>
            </w:pPr>
            <w:r>
              <w:rPr>
                <w:rFonts w:ascii="Arial" w:hAnsi="Arial"/>
                <w:color w:val="000000"/>
                <w:sz w:val="16"/>
              </w:rPr>
              <w:t>0</w:t>
            </w:r>
          </w:p>
        </w:tc>
        <w:tc>
          <w:tcPr>
            <w:tcW w:w="720" w:type="dxa"/>
            <w:vAlign w:val="center"/>
          </w:tcPr>
          <w:p w14:paraId="15CACF9D" w14:textId="77777777" w:rsidR="00254C24" w:rsidRDefault="00057471">
            <w:pPr>
              <w:spacing w:beforeAutospacing="1" w:afterAutospacing="1"/>
              <w:jc w:val="right"/>
            </w:pPr>
            <w:r>
              <w:rPr>
                <w:rFonts w:ascii="Arial" w:hAnsi="Arial"/>
                <w:color w:val="000000"/>
                <w:sz w:val="16"/>
              </w:rPr>
              <w:t>0</w:t>
            </w:r>
          </w:p>
        </w:tc>
      </w:tr>
      <w:tr w:rsidR="00254C24" w14:paraId="682E93B1" w14:textId="77777777">
        <w:trPr>
          <w:cantSplit/>
        </w:trPr>
        <w:tc>
          <w:tcPr>
            <w:tcW w:w="5490" w:type="dxa"/>
            <w:vAlign w:val="center"/>
          </w:tcPr>
          <w:p w14:paraId="221173F3" w14:textId="77777777" w:rsidR="00254C24" w:rsidRDefault="00057471">
            <w:pPr>
              <w:spacing w:beforeAutospacing="1" w:afterAutospacing="1"/>
            </w:pPr>
            <w:r>
              <w:rPr>
                <w:rFonts w:ascii="Arial" w:hAnsi="Arial"/>
                <w:color w:val="25396E"/>
                <w:sz w:val="16"/>
              </w:rPr>
              <w:t>Total Labor Hours</w:t>
            </w:r>
          </w:p>
        </w:tc>
        <w:tc>
          <w:tcPr>
            <w:tcW w:w="810" w:type="dxa"/>
            <w:vAlign w:val="center"/>
          </w:tcPr>
          <w:p w14:paraId="129A032D"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39789D48"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63369504"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3FFFADB1"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EB74713" w14:textId="77777777" w:rsidR="00254C24" w:rsidRDefault="00057471">
            <w:pPr>
              <w:spacing w:beforeAutospacing="1" w:afterAutospacing="1"/>
              <w:jc w:val="right"/>
            </w:pPr>
            <w:r>
              <w:rPr>
                <w:rFonts w:ascii="Arial" w:hAnsi="Arial"/>
                <w:color w:val="000000"/>
                <w:sz w:val="16"/>
              </w:rPr>
              <w:t xml:space="preserve"> </w:t>
            </w:r>
          </w:p>
        </w:tc>
      </w:tr>
      <w:tr w:rsidR="00254C24" w14:paraId="77F182C1" w14:textId="77777777">
        <w:trPr>
          <w:cantSplit/>
        </w:trPr>
        <w:tc>
          <w:tcPr>
            <w:tcW w:w="5490" w:type="dxa"/>
            <w:vAlign w:val="center"/>
          </w:tcPr>
          <w:p w14:paraId="5DE4EDCD" w14:textId="77777777" w:rsidR="00254C24" w:rsidRDefault="00057471">
            <w:pPr>
              <w:spacing w:beforeAutospacing="1" w:afterAutospacing="1"/>
            </w:pPr>
            <w:r>
              <w:rPr>
                <w:rFonts w:ascii="Arial" w:hAnsi="Arial"/>
                <w:color w:val="25396E"/>
                <w:sz w:val="16"/>
              </w:rPr>
              <w:t>Total Section 3 Worker Hours</w:t>
            </w:r>
          </w:p>
        </w:tc>
        <w:tc>
          <w:tcPr>
            <w:tcW w:w="810" w:type="dxa"/>
            <w:vAlign w:val="center"/>
          </w:tcPr>
          <w:p w14:paraId="3283BF05"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0343EBBA"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5FB6E7EE"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06EC797F"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38FDB40F" w14:textId="77777777" w:rsidR="00254C24" w:rsidRDefault="00057471">
            <w:pPr>
              <w:spacing w:beforeAutospacing="1" w:afterAutospacing="1"/>
              <w:jc w:val="right"/>
            </w:pPr>
            <w:r>
              <w:rPr>
                <w:rFonts w:ascii="Arial" w:hAnsi="Arial"/>
                <w:color w:val="000000"/>
                <w:sz w:val="16"/>
              </w:rPr>
              <w:t xml:space="preserve"> </w:t>
            </w:r>
          </w:p>
        </w:tc>
      </w:tr>
      <w:tr w:rsidR="00254C24" w14:paraId="6547DCC4" w14:textId="77777777">
        <w:trPr>
          <w:cantSplit/>
        </w:trPr>
        <w:tc>
          <w:tcPr>
            <w:tcW w:w="5490" w:type="dxa"/>
            <w:vAlign w:val="center"/>
          </w:tcPr>
          <w:p w14:paraId="0732281E" w14:textId="77777777" w:rsidR="00254C24" w:rsidRDefault="00057471">
            <w:pPr>
              <w:spacing w:beforeAutospacing="1" w:afterAutospacing="1"/>
            </w:pPr>
            <w:r>
              <w:rPr>
                <w:rFonts w:ascii="Arial" w:hAnsi="Arial"/>
                <w:color w:val="25396E"/>
                <w:sz w:val="16"/>
              </w:rPr>
              <w:t>Total Targeted Section 3 Worker Hours</w:t>
            </w:r>
          </w:p>
        </w:tc>
        <w:tc>
          <w:tcPr>
            <w:tcW w:w="810" w:type="dxa"/>
            <w:vAlign w:val="center"/>
          </w:tcPr>
          <w:p w14:paraId="2A39C012"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048A3CB9"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64831F0"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5AB0AEE2"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732071E" w14:textId="77777777" w:rsidR="00254C24" w:rsidRDefault="00057471">
            <w:pPr>
              <w:spacing w:beforeAutospacing="1" w:afterAutospacing="1"/>
              <w:jc w:val="right"/>
            </w:pPr>
            <w:r>
              <w:rPr>
                <w:rFonts w:ascii="Arial" w:hAnsi="Arial"/>
                <w:color w:val="000000"/>
                <w:sz w:val="16"/>
              </w:rPr>
              <w:t xml:space="preserve"> </w:t>
            </w:r>
          </w:p>
        </w:tc>
      </w:tr>
    </w:tbl>
    <w:p w14:paraId="10ED475D" w14:textId="77777777" w:rsidR="00254C24" w:rsidRDefault="0005747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14:paraId="79D76D6F" w14:textId="77777777" w:rsidR="00254C24" w:rsidRDefault="00254C24">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254C24" w14:paraId="3EDCBAA8" w14:textId="77777777">
        <w:trPr>
          <w:cantSplit/>
        </w:trPr>
        <w:tc>
          <w:tcPr>
            <w:tcW w:w="5490" w:type="dxa"/>
          </w:tcPr>
          <w:p w14:paraId="588E336F" w14:textId="77777777" w:rsidR="00254C24" w:rsidRDefault="00057471">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625809C1" w14:textId="77777777" w:rsidR="00254C24" w:rsidRDefault="00057471">
            <w:pPr>
              <w:keepNext/>
              <w:widowControl w:val="0"/>
              <w:spacing w:after="0" w:line="240" w:lineRule="auto"/>
              <w:jc w:val="center"/>
              <w:rPr>
                <w:b/>
              </w:rPr>
            </w:pPr>
            <w:r>
              <w:rPr>
                <w:b/>
              </w:rPr>
              <w:t>CDBG</w:t>
            </w:r>
          </w:p>
        </w:tc>
        <w:tc>
          <w:tcPr>
            <w:tcW w:w="900" w:type="dxa"/>
          </w:tcPr>
          <w:p w14:paraId="667B288C" w14:textId="77777777" w:rsidR="00254C24" w:rsidRDefault="00057471">
            <w:pPr>
              <w:keepNext/>
              <w:widowControl w:val="0"/>
              <w:spacing w:after="0" w:line="240" w:lineRule="auto"/>
              <w:jc w:val="center"/>
              <w:rPr>
                <w:b/>
              </w:rPr>
            </w:pPr>
            <w:r>
              <w:rPr>
                <w:b/>
              </w:rPr>
              <w:t>HOME</w:t>
            </w:r>
          </w:p>
        </w:tc>
        <w:tc>
          <w:tcPr>
            <w:tcW w:w="720" w:type="dxa"/>
          </w:tcPr>
          <w:p w14:paraId="1DCF713B" w14:textId="77777777" w:rsidR="00254C24" w:rsidRDefault="00057471">
            <w:pPr>
              <w:keepNext/>
              <w:widowControl w:val="0"/>
              <w:spacing w:after="0" w:line="240" w:lineRule="auto"/>
              <w:rPr>
                <w:b/>
              </w:rPr>
            </w:pPr>
            <w:r>
              <w:rPr>
                <w:b/>
              </w:rPr>
              <w:t>ESG</w:t>
            </w:r>
          </w:p>
        </w:tc>
        <w:tc>
          <w:tcPr>
            <w:tcW w:w="990" w:type="dxa"/>
          </w:tcPr>
          <w:p w14:paraId="3A37AD44" w14:textId="77777777" w:rsidR="00254C24" w:rsidRDefault="00057471">
            <w:pPr>
              <w:keepNext/>
              <w:widowControl w:val="0"/>
              <w:spacing w:after="0" w:line="240" w:lineRule="auto"/>
              <w:jc w:val="center"/>
              <w:rPr>
                <w:b/>
              </w:rPr>
            </w:pPr>
            <w:r>
              <w:rPr>
                <w:b/>
              </w:rPr>
              <w:t>HOPWA</w:t>
            </w:r>
          </w:p>
        </w:tc>
        <w:tc>
          <w:tcPr>
            <w:tcW w:w="720" w:type="dxa"/>
          </w:tcPr>
          <w:p w14:paraId="04FED276" w14:textId="77777777" w:rsidR="00254C24" w:rsidRDefault="00057471">
            <w:pPr>
              <w:keepNext/>
              <w:widowControl w:val="0"/>
              <w:spacing w:after="0" w:line="240" w:lineRule="auto"/>
              <w:jc w:val="center"/>
              <w:rPr>
                <w:b/>
              </w:rPr>
            </w:pPr>
            <w:r>
              <w:rPr>
                <w:b/>
              </w:rPr>
              <w:t>HTF</w:t>
            </w:r>
          </w:p>
        </w:tc>
      </w:tr>
      <w:tr w:rsidR="00254C24" w14:paraId="5FEB7CF0" w14:textId="77777777">
        <w:trPr>
          <w:cantSplit/>
        </w:trPr>
        <w:tc>
          <w:tcPr>
            <w:tcW w:w="5490" w:type="dxa"/>
            <w:vAlign w:val="center"/>
          </w:tcPr>
          <w:p w14:paraId="34F184F1" w14:textId="77777777" w:rsidR="00254C24" w:rsidRDefault="00057471">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14:paraId="3085D716"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1999300D"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24D51A06"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1E540D9B"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199ABA58" w14:textId="77777777" w:rsidR="00254C24" w:rsidRDefault="00057471">
            <w:pPr>
              <w:spacing w:beforeAutospacing="1" w:afterAutospacing="1"/>
              <w:jc w:val="right"/>
            </w:pPr>
            <w:r>
              <w:rPr>
                <w:rFonts w:ascii="Arial" w:hAnsi="Arial"/>
                <w:color w:val="000000"/>
                <w:sz w:val="16"/>
              </w:rPr>
              <w:t xml:space="preserve"> </w:t>
            </w:r>
          </w:p>
        </w:tc>
      </w:tr>
      <w:tr w:rsidR="00254C24" w14:paraId="2E9E8A12" w14:textId="77777777">
        <w:trPr>
          <w:cantSplit/>
        </w:trPr>
        <w:tc>
          <w:tcPr>
            <w:tcW w:w="5490" w:type="dxa"/>
            <w:vAlign w:val="center"/>
          </w:tcPr>
          <w:p w14:paraId="6824DB27" w14:textId="77777777" w:rsidR="00254C24" w:rsidRDefault="00057471">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14:paraId="68F84A72"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184CEB1B"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59E42FAB"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22058A31"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9932FD3" w14:textId="77777777" w:rsidR="00254C24" w:rsidRDefault="00057471">
            <w:pPr>
              <w:spacing w:beforeAutospacing="1" w:afterAutospacing="1"/>
              <w:jc w:val="right"/>
            </w:pPr>
            <w:r>
              <w:rPr>
                <w:rFonts w:ascii="Arial" w:hAnsi="Arial"/>
                <w:color w:val="000000"/>
                <w:sz w:val="16"/>
              </w:rPr>
              <w:t xml:space="preserve"> </w:t>
            </w:r>
          </w:p>
        </w:tc>
      </w:tr>
      <w:tr w:rsidR="00254C24" w14:paraId="74D68B12" w14:textId="77777777">
        <w:trPr>
          <w:cantSplit/>
        </w:trPr>
        <w:tc>
          <w:tcPr>
            <w:tcW w:w="5490" w:type="dxa"/>
            <w:vAlign w:val="center"/>
          </w:tcPr>
          <w:p w14:paraId="132394E8" w14:textId="77777777" w:rsidR="00254C24" w:rsidRDefault="00057471">
            <w:pPr>
              <w:spacing w:beforeAutospacing="1" w:afterAutospacing="1"/>
            </w:pPr>
            <w:r>
              <w:rPr>
                <w:rFonts w:ascii="Arial" w:hAnsi="Arial"/>
                <w:color w:val="25396E"/>
                <w:sz w:val="16"/>
              </w:rPr>
              <w:t>Direct, on-the job training (including apprenticeships).</w:t>
            </w:r>
          </w:p>
        </w:tc>
        <w:tc>
          <w:tcPr>
            <w:tcW w:w="810" w:type="dxa"/>
            <w:vAlign w:val="center"/>
          </w:tcPr>
          <w:p w14:paraId="57143CE1"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3E707135"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7AB3E68D"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62A0A96E"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890C4B1" w14:textId="77777777" w:rsidR="00254C24" w:rsidRDefault="00057471">
            <w:pPr>
              <w:spacing w:beforeAutospacing="1" w:afterAutospacing="1"/>
              <w:jc w:val="right"/>
            </w:pPr>
            <w:r>
              <w:rPr>
                <w:rFonts w:ascii="Arial" w:hAnsi="Arial"/>
                <w:color w:val="000000"/>
                <w:sz w:val="16"/>
              </w:rPr>
              <w:t xml:space="preserve"> </w:t>
            </w:r>
          </w:p>
        </w:tc>
      </w:tr>
      <w:tr w:rsidR="00254C24" w14:paraId="39856176" w14:textId="77777777">
        <w:trPr>
          <w:cantSplit/>
        </w:trPr>
        <w:tc>
          <w:tcPr>
            <w:tcW w:w="5490" w:type="dxa"/>
            <w:vAlign w:val="center"/>
          </w:tcPr>
          <w:p w14:paraId="65A22A65" w14:textId="77777777" w:rsidR="00254C24" w:rsidRDefault="00057471">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14:paraId="19416472"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7CB737A3"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1BDE5A55"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3C3C3AEF"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6DADA44F" w14:textId="77777777" w:rsidR="00254C24" w:rsidRDefault="00057471">
            <w:pPr>
              <w:spacing w:beforeAutospacing="1" w:afterAutospacing="1"/>
              <w:jc w:val="right"/>
            </w:pPr>
            <w:r>
              <w:rPr>
                <w:rFonts w:ascii="Arial" w:hAnsi="Arial"/>
                <w:color w:val="000000"/>
                <w:sz w:val="16"/>
              </w:rPr>
              <w:t xml:space="preserve"> </w:t>
            </w:r>
          </w:p>
        </w:tc>
      </w:tr>
      <w:tr w:rsidR="00254C24" w14:paraId="2B52792A" w14:textId="77777777">
        <w:trPr>
          <w:cantSplit/>
        </w:trPr>
        <w:tc>
          <w:tcPr>
            <w:tcW w:w="5490" w:type="dxa"/>
            <w:vAlign w:val="center"/>
          </w:tcPr>
          <w:p w14:paraId="4CF8C1F6" w14:textId="77777777" w:rsidR="00254C24" w:rsidRDefault="00057471">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14:paraId="7E35C8E3"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7068BA74"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7CC5D612"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4CB259F6"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71322215" w14:textId="77777777" w:rsidR="00254C24" w:rsidRDefault="00057471">
            <w:pPr>
              <w:spacing w:beforeAutospacing="1" w:afterAutospacing="1"/>
              <w:jc w:val="right"/>
            </w:pPr>
            <w:r>
              <w:rPr>
                <w:rFonts w:ascii="Arial" w:hAnsi="Arial"/>
                <w:color w:val="000000"/>
                <w:sz w:val="16"/>
              </w:rPr>
              <w:t xml:space="preserve"> </w:t>
            </w:r>
          </w:p>
        </w:tc>
      </w:tr>
      <w:tr w:rsidR="00254C24" w14:paraId="45AA173C" w14:textId="77777777">
        <w:trPr>
          <w:cantSplit/>
        </w:trPr>
        <w:tc>
          <w:tcPr>
            <w:tcW w:w="5490" w:type="dxa"/>
            <w:vAlign w:val="center"/>
          </w:tcPr>
          <w:p w14:paraId="15FF0BB7" w14:textId="77777777" w:rsidR="00254C24" w:rsidRDefault="00057471">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14:paraId="74711B95"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323C147F"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5EB1F3B"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681A0521"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943B601" w14:textId="77777777" w:rsidR="00254C24" w:rsidRDefault="00057471">
            <w:pPr>
              <w:spacing w:beforeAutospacing="1" w:afterAutospacing="1"/>
              <w:jc w:val="right"/>
            </w:pPr>
            <w:r>
              <w:rPr>
                <w:rFonts w:ascii="Arial" w:hAnsi="Arial"/>
                <w:color w:val="000000"/>
                <w:sz w:val="16"/>
              </w:rPr>
              <w:t xml:space="preserve"> </w:t>
            </w:r>
          </w:p>
        </w:tc>
      </w:tr>
      <w:tr w:rsidR="00254C24" w14:paraId="3984E1D3" w14:textId="77777777">
        <w:trPr>
          <w:cantSplit/>
        </w:trPr>
        <w:tc>
          <w:tcPr>
            <w:tcW w:w="5490" w:type="dxa"/>
            <w:vAlign w:val="center"/>
          </w:tcPr>
          <w:p w14:paraId="294A2E97" w14:textId="77777777" w:rsidR="00254C24" w:rsidRDefault="00057471">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14:paraId="1DEA2FDF"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3C3B4FC2"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A6FA5D6"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3839CCD9"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1C746CF6" w14:textId="77777777" w:rsidR="00254C24" w:rsidRDefault="00057471">
            <w:pPr>
              <w:spacing w:beforeAutospacing="1" w:afterAutospacing="1"/>
              <w:jc w:val="right"/>
            </w:pPr>
            <w:r>
              <w:rPr>
                <w:rFonts w:ascii="Arial" w:hAnsi="Arial"/>
                <w:color w:val="000000"/>
                <w:sz w:val="16"/>
              </w:rPr>
              <w:t xml:space="preserve"> </w:t>
            </w:r>
          </w:p>
        </w:tc>
      </w:tr>
      <w:tr w:rsidR="00254C24" w14:paraId="2A30C598" w14:textId="77777777">
        <w:trPr>
          <w:cantSplit/>
        </w:trPr>
        <w:tc>
          <w:tcPr>
            <w:tcW w:w="5490" w:type="dxa"/>
            <w:vAlign w:val="center"/>
          </w:tcPr>
          <w:p w14:paraId="39D827EE" w14:textId="77777777" w:rsidR="00254C24" w:rsidRDefault="00057471">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14:paraId="3480ABDB"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474DB498"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0B16025D"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666566C6"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5B24B496" w14:textId="77777777" w:rsidR="00254C24" w:rsidRDefault="00057471">
            <w:pPr>
              <w:spacing w:beforeAutospacing="1" w:afterAutospacing="1"/>
              <w:jc w:val="right"/>
            </w:pPr>
            <w:r>
              <w:rPr>
                <w:rFonts w:ascii="Arial" w:hAnsi="Arial"/>
                <w:color w:val="000000"/>
                <w:sz w:val="16"/>
              </w:rPr>
              <w:t xml:space="preserve"> </w:t>
            </w:r>
          </w:p>
        </w:tc>
      </w:tr>
      <w:tr w:rsidR="00254C24" w14:paraId="062AF6A4" w14:textId="77777777">
        <w:trPr>
          <w:cantSplit/>
        </w:trPr>
        <w:tc>
          <w:tcPr>
            <w:tcW w:w="5490" w:type="dxa"/>
            <w:vAlign w:val="center"/>
          </w:tcPr>
          <w:p w14:paraId="2C192FA9" w14:textId="77777777" w:rsidR="00254C24" w:rsidRDefault="00057471">
            <w:pPr>
              <w:spacing w:beforeAutospacing="1" w:afterAutospacing="1"/>
            </w:pPr>
            <w:r>
              <w:rPr>
                <w:rFonts w:ascii="Arial" w:hAnsi="Arial"/>
                <w:color w:val="25396E"/>
                <w:sz w:val="16"/>
              </w:rPr>
              <w:t xml:space="preserve">Provided or connected residents with assistance in seeking employment including: drafting </w:t>
            </w:r>
            <w:proofErr w:type="spellStart"/>
            <w:proofErr w:type="gramStart"/>
            <w:r>
              <w:rPr>
                <w:rFonts w:ascii="Arial" w:hAnsi="Arial"/>
                <w:color w:val="25396E"/>
                <w:sz w:val="16"/>
              </w:rPr>
              <w:t>resumes,preparing</w:t>
            </w:r>
            <w:proofErr w:type="spellEnd"/>
            <w:proofErr w:type="gramEnd"/>
            <w:r>
              <w:rPr>
                <w:rFonts w:ascii="Arial" w:hAnsi="Arial"/>
                <w:color w:val="25396E"/>
                <w:sz w:val="16"/>
              </w:rPr>
              <w:t xml:space="preserve"> for interviews, finding job opportunities, connecting residents to job placement services.</w:t>
            </w:r>
          </w:p>
        </w:tc>
        <w:tc>
          <w:tcPr>
            <w:tcW w:w="810" w:type="dxa"/>
            <w:vAlign w:val="center"/>
          </w:tcPr>
          <w:p w14:paraId="5D463F42"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6AF5B126"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6E99E767"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214F4A23"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79DBF3F5" w14:textId="77777777" w:rsidR="00254C24" w:rsidRDefault="00057471">
            <w:pPr>
              <w:spacing w:beforeAutospacing="1" w:afterAutospacing="1"/>
              <w:jc w:val="right"/>
            </w:pPr>
            <w:r>
              <w:rPr>
                <w:rFonts w:ascii="Arial" w:hAnsi="Arial"/>
                <w:color w:val="000000"/>
                <w:sz w:val="16"/>
              </w:rPr>
              <w:t xml:space="preserve"> </w:t>
            </w:r>
          </w:p>
        </w:tc>
      </w:tr>
      <w:tr w:rsidR="00254C24" w14:paraId="1063A9D5" w14:textId="77777777">
        <w:trPr>
          <w:cantSplit/>
        </w:trPr>
        <w:tc>
          <w:tcPr>
            <w:tcW w:w="5490" w:type="dxa"/>
            <w:vAlign w:val="center"/>
          </w:tcPr>
          <w:p w14:paraId="3944B623" w14:textId="77777777" w:rsidR="00254C24" w:rsidRDefault="00057471">
            <w:pPr>
              <w:spacing w:beforeAutospacing="1" w:afterAutospacing="1"/>
            </w:pPr>
            <w:r>
              <w:rPr>
                <w:rFonts w:ascii="Arial" w:hAnsi="Arial"/>
                <w:color w:val="25396E"/>
                <w:sz w:val="16"/>
              </w:rPr>
              <w:t>Held one or more job fairs.</w:t>
            </w:r>
          </w:p>
        </w:tc>
        <w:tc>
          <w:tcPr>
            <w:tcW w:w="810" w:type="dxa"/>
            <w:vAlign w:val="center"/>
          </w:tcPr>
          <w:p w14:paraId="1C0C3E46"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1CBDC9F1"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37F8D31B"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5FC78142"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03B6A1A3" w14:textId="77777777" w:rsidR="00254C24" w:rsidRDefault="00057471">
            <w:pPr>
              <w:spacing w:beforeAutospacing="1" w:afterAutospacing="1"/>
              <w:jc w:val="right"/>
            </w:pPr>
            <w:r>
              <w:rPr>
                <w:rFonts w:ascii="Arial" w:hAnsi="Arial"/>
                <w:color w:val="000000"/>
                <w:sz w:val="16"/>
              </w:rPr>
              <w:t xml:space="preserve"> </w:t>
            </w:r>
          </w:p>
        </w:tc>
      </w:tr>
      <w:tr w:rsidR="00254C24" w14:paraId="21312978" w14:textId="77777777">
        <w:trPr>
          <w:cantSplit/>
        </w:trPr>
        <w:tc>
          <w:tcPr>
            <w:tcW w:w="5490" w:type="dxa"/>
            <w:vAlign w:val="center"/>
          </w:tcPr>
          <w:p w14:paraId="5A770C05" w14:textId="77777777" w:rsidR="00254C24" w:rsidRDefault="00057471">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14:paraId="24150C23"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567F58E7"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6E828CFA"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216744B7"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11C3D78E" w14:textId="77777777" w:rsidR="00254C24" w:rsidRDefault="00057471">
            <w:pPr>
              <w:spacing w:beforeAutospacing="1" w:afterAutospacing="1"/>
              <w:jc w:val="right"/>
            </w:pPr>
            <w:r>
              <w:rPr>
                <w:rFonts w:ascii="Arial" w:hAnsi="Arial"/>
                <w:color w:val="000000"/>
                <w:sz w:val="16"/>
              </w:rPr>
              <w:t xml:space="preserve"> </w:t>
            </w:r>
          </w:p>
        </w:tc>
      </w:tr>
      <w:tr w:rsidR="00254C24" w14:paraId="44F3EFD2" w14:textId="77777777">
        <w:trPr>
          <w:cantSplit/>
        </w:trPr>
        <w:tc>
          <w:tcPr>
            <w:tcW w:w="5490" w:type="dxa"/>
            <w:vAlign w:val="center"/>
          </w:tcPr>
          <w:p w14:paraId="7610B3FC" w14:textId="77777777" w:rsidR="00254C24" w:rsidRDefault="00057471">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14:paraId="79D5D11D"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1AC44E6F"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7801A667"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7259B274"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762001DA" w14:textId="77777777" w:rsidR="00254C24" w:rsidRDefault="00057471">
            <w:pPr>
              <w:spacing w:beforeAutospacing="1" w:afterAutospacing="1"/>
              <w:jc w:val="right"/>
            </w:pPr>
            <w:r>
              <w:rPr>
                <w:rFonts w:ascii="Arial" w:hAnsi="Arial"/>
                <w:color w:val="000000"/>
                <w:sz w:val="16"/>
              </w:rPr>
              <w:t xml:space="preserve"> </w:t>
            </w:r>
          </w:p>
        </w:tc>
      </w:tr>
      <w:tr w:rsidR="00254C24" w14:paraId="288E6906" w14:textId="77777777">
        <w:trPr>
          <w:cantSplit/>
        </w:trPr>
        <w:tc>
          <w:tcPr>
            <w:tcW w:w="5490" w:type="dxa"/>
            <w:vAlign w:val="center"/>
          </w:tcPr>
          <w:p w14:paraId="5D442D38" w14:textId="77777777" w:rsidR="00254C24" w:rsidRDefault="00057471">
            <w:pPr>
              <w:spacing w:beforeAutospacing="1" w:afterAutospacing="1"/>
            </w:pPr>
            <w:r>
              <w:rPr>
                <w:rFonts w:ascii="Arial" w:hAnsi="Arial"/>
                <w:color w:val="25396E"/>
                <w:sz w:val="16"/>
              </w:rPr>
              <w:t>Assisted residents with finding child care.</w:t>
            </w:r>
          </w:p>
        </w:tc>
        <w:tc>
          <w:tcPr>
            <w:tcW w:w="810" w:type="dxa"/>
            <w:vAlign w:val="center"/>
          </w:tcPr>
          <w:p w14:paraId="1B87A6B2"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3E12BCFA"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6FE89324"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4861C17E"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6948CA86" w14:textId="77777777" w:rsidR="00254C24" w:rsidRDefault="00057471">
            <w:pPr>
              <w:spacing w:beforeAutospacing="1" w:afterAutospacing="1"/>
              <w:jc w:val="right"/>
            </w:pPr>
            <w:r>
              <w:rPr>
                <w:rFonts w:ascii="Arial" w:hAnsi="Arial"/>
                <w:color w:val="000000"/>
                <w:sz w:val="16"/>
              </w:rPr>
              <w:t xml:space="preserve"> </w:t>
            </w:r>
          </w:p>
        </w:tc>
      </w:tr>
      <w:tr w:rsidR="00254C24" w14:paraId="08FBB52D" w14:textId="77777777">
        <w:trPr>
          <w:cantSplit/>
        </w:trPr>
        <w:tc>
          <w:tcPr>
            <w:tcW w:w="5490" w:type="dxa"/>
            <w:vAlign w:val="center"/>
          </w:tcPr>
          <w:p w14:paraId="7A5FC5B2" w14:textId="77777777" w:rsidR="00254C24" w:rsidRDefault="00057471">
            <w:pPr>
              <w:spacing w:beforeAutospacing="1" w:afterAutospacing="1"/>
            </w:pPr>
            <w:r>
              <w:rPr>
                <w:rFonts w:ascii="Arial" w:hAnsi="Arial"/>
                <w:color w:val="25396E"/>
                <w:sz w:val="16"/>
              </w:rPr>
              <w:t xml:space="preserve">Assisted residents to apply for, or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810" w:type="dxa"/>
            <w:vAlign w:val="center"/>
          </w:tcPr>
          <w:p w14:paraId="4730388C"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1FF62881"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17CA7F1"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6643A28A"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BBF67BE" w14:textId="77777777" w:rsidR="00254C24" w:rsidRDefault="00057471">
            <w:pPr>
              <w:spacing w:beforeAutospacing="1" w:afterAutospacing="1"/>
              <w:jc w:val="right"/>
            </w:pPr>
            <w:r>
              <w:rPr>
                <w:rFonts w:ascii="Arial" w:hAnsi="Arial"/>
                <w:color w:val="000000"/>
                <w:sz w:val="16"/>
              </w:rPr>
              <w:t xml:space="preserve"> </w:t>
            </w:r>
          </w:p>
        </w:tc>
      </w:tr>
      <w:tr w:rsidR="00254C24" w14:paraId="16939875" w14:textId="77777777">
        <w:trPr>
          <w:cantSplit/>
        </w:trPr>
        <w:tc>
          <w:tcPr>
            <w:tcW w:w="5490" w:type="dxa"/>
            <w:vAlign w:val="center"/>
          </w:tcPr>
          <w:p w14:paraId="3B6227F6" w14:textId="77777777" w:rsidR="00254C24" w:rsidRDefault="00057471">
            <w:pPr>
              <w:spacing w:beforeAutospacing="1" w:afterAutospacing="1"/>
            </w:pPr>
            <w:r>
              <w:rPr>
                <w:rFonts w:ascii="Arial" w:hAnsi="Arial"/>
                <w:color w:val="25396E"/>
                <w:sz w:val="16"/>
              </w:rPr>
              <w:t>Assisted residents to apply for, or attend vocational/technical training.</w:t>
            </w:r>
          </w:p>
        </w:tc>
        <w:tc>
          <w:tcPr>
            <w:tcW w:w="810" w:type="dxa"/>
            <w:vAlign w:val="center"/>
          </w:tcPr>
          <w:p w14:paraId="3FA3CD14"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09FF4166"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207CA453"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68B8B574"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111610EA" w14:textId="77777777" w:rsidR="00254C24" w:rsidRDefault="00057471">
            <w:pPr>
              <w:spacing w:beforeAutospacing="1" w:afterAutospacing="1"/>
              <w:jc w:val="right"/>
            </w:pPr>
            <w:r>
              <w:rPr>
                <w:rFonts w:ascii="Arial" w:hAnsi="Arial"/>
                <w:color w:val="000000"/>
                <w:sz w:val="16"/>
              </w:rPr>
              <w:t xml:space="preserve"> </w:t>
            </w:r>
          </w:p>
        </w:tc>
      </w:tr>
      <w:tr w:rsidR="00254C24" w14:paraId="631C6C80" w14:textId="77777777">
        <w:trPr>
          <w:cantSplit/>
        </w:trPr>
        <w:tc>
          <w:tcPr>
            <w:tcW w:w="5490" w:type="dxa"/>
            <w:vAlign w:val="center"/>
          </w:tcPr>
          <w:p w14:paraId="374C83DE" w14:textId="77777777" w:rsidR="00254C24" w:rsidRDefault="00057471">
            <w:pPr>
              <w:spacing w:beforeAutospacing="1" w:afterAutospacing="1"/>
            </w:pPr>
            <w:r>
              <w:rPr>
                <w:rFonts w:ascii="Arial" w:hAnsi="Arial"/>
                <w:color w:val="25396E"/>
                <w:sz w:val="16"/>
              </w:rPr>
              <w:t>Assisted residents to obtain financial literacy training and/or coaching.</w:t>
            </w:r>
          </w:p>
        </w:tc>
        <w:tc>
          <w:tcPr>
            <w:tcW w:w="810" w:type="dxa"/>
            <w:vAlign w:val="center"/>
          </w:tcPr>
          <w:p w14:paraId="0D6B9A71"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74109CC4"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3C5B027D"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0A7B55D9"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3899108B" w14:textId="77777777" w:rsidR="00254C24" w:rsidRDefault="00057471">
            <w:pPr>
              <w:spacing w:beforeAutospacing="1" w:afterAutospacing="1"/>
              <w:jc w:val="right"/>
            </w:pPr>
            <w:r>
              <w:rPr>
                <w:rFonts w:ascii="Arial" w:hAnsi="Arial"/>
                <w:color w:val="000000"/>
                <w:sz w:val="16"/>
              </w:rPr>
              <w:t xml:space="preserve"> </w:t>
            </w:r>
          </w:p>
        </w:tc>
      </w:tr>
      <w:tr w:rsidR="00254C24" w14:paraId="6EB050D6" w14:textId="77777777">
        <w:trPr>
          <w:cantSplit/>
        </w:trPr>
        <w:tc>
          <w:tcPr>
            <w:tcW w:w="5490" w:type="dxa"/>
            <w:vAlign w:val="center"/>
          </w:tcPr>
          <w:p w14:paraId="547B59B1" w14:textId="77777777" w:rsidR="00254C24" w:rsidRDefault="00057471">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14:paraId="1B2CCA6C"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205E5306"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5DA3D316"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70E5DEE3"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3DA499E2" w14:textId="77777777" w:rsidR="00254C24" w:rsidRDefault="00057471">
            <w:pPr>
              <w:spacing w:beforeAutospacing="1" w:afterAutospacing="1"/>
              <w:jc w:val="right"/>
            </w:pPr>
            <w:r>
              <w:rPr>
                <w:rFonts w:ascii="Arial" w:hAnsi="Arial"/>
                <w:color w:val="000000"/>
                <w:sz w:val="16"/>
              </w:rPr>
              <w:t xml:space="preserve"> </w:t>
            </w:r>
          </w:p>
        </w:tc>
      </w:tr>
      <w:tr w:rsidR="00254C24" w14:paraId="3E41595C" w14:textId="77777777">
        <w:trPr>
          <w:cantSplit/>
        </w:trPr>
        <w:tc>
          <w:tcPr>
            <w:tcW w:w="5490" w:type="dxa"/>
            <w:vAlign w:val="center"/>
          </w:tcPr>
          <w:p w14:paraId="7D1A047F" w14:textId="77777777" w:rsidR="00254C24" w:rsidRDefault="00057471">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14:paraId="6A2B658F"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1DE40EAB"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5113894A"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7586CD8C"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F8862C1" w14:textId="77777777" w:rsidR="00254C24" w:rsidRDefault="00057471">
            <w:pPr>
              <w:spacing w:beforeAutospacing="1" w:afterAutospacing="1"/>
              <w:jc w:val="right"/>
            </w:pPr>
            <w:r>
              <w:rPr>
                <w:rFonts w:ascii="Arial" w:hAnsi="Arial"/>
                <w:color w:val="000000"/>
                <w:sz w:val="16"/>
              </w:rPr>
              <w:t xml:space="preserve"> </w:t>
            </w:r>
          </w:p>
        </w:tc>
      </w:tr>
      <w:tr w:rsidR="00254C24" w14:paraId="6C730EC2" w14:textId="77777777">
        <w:trPr>
          <w:cantSplit/>
        </w:trPr>
        <w:tc>
          <w:tcPr>
            <w:tcW w:w="5490" w:type="dxa"/>
            <w:vAlign w:val="center"/>
          </w:tcPr>
          <w:p w14:paraId="6C0DF0B1" w14:textId="77777777" w:rsidR="00254C24" w:rsidRDefault="00057471">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14:paraId="6DD7A112"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044B299A"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5287A860"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395343E4"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A605393" w14:textId="77777777" w:rsidR="00254C24" w:rsidRDefault="00057471">
            <w:pPr>
              <w:spacing w:beforeAutospacing="1" w:afterAutospacing="1"/>
              <w:jc w:val="right"/>
            </w:pPr>
            <w:r>
              <w:rPr>
                <w:rFonts w:ascii="Arial" w:hAnsi="Arial"/>
                <w:color w:val="000000"/>
                <w:sz w:val="16"/>
              </w:rPr>
              <w:t xml:space="preserve"> </w:t>
            </w:r>
          </w:p>
        </w:tc>
      </w:tr>
      <w:tr w:rsidR="00254C24" w14:paraId="16A503B6" w14:textId="77777777">
        <w:trPr>
          <w:cantSplit/>
        </w:trPr>
        <w:tc>
          <w:tcPr>
            <w:tcW w:w="5490" w:type="dxa"/>
            <w:vAlign w:val="center"/>
          </w:tcPr>
          <w:p w14:paraId="150A18F2" w14:textId="77777777" w:rsidR="00254C24" w:rsidRDefault="00057471">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14:paraId="3F6BC81E"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24E8F653"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183E9650"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34192B78"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44A55B1B" w14:textId="77777777" w:rsidR="00254C24" w:rsidRDefault="00057471">
            <w:pPr>
              <w:spacing w:beforeAutospacing="1" w:afterAutospacing="1"/>
              <w:jc w:val="right"/>
            </w:pPr>
            <w:r>
              <w:rPr>
                <w:rFonts w:ascii="Arial" w:hAnsi="Arial"/>
                <w:color w:val="000000"/>
                <w:sz w:val="16"/>
              </w:rPr>
              <w:t xml:space="preserve"> </w:t>
            </w:r>
          </w:p>
        </w:tc>
      </w:tr>
      <w:tr w:rsidR="00254C24" w14:paraId="75463E90" w14:textId="77777777">
        <w:trPr>
          <w:cantSplit/>
        </w:trPr>
        <w:tc>
          <w:tcPr>
            <w:tcW w:w="5490" w:type="dxa"/>
            <w:vAlign w:val="center"/>
          </w:tcPr>
          <w:p w14:paraId="538C1BFB" w14:textId="77777777" w:rsidR="00254C24" w:rsidRDefault="00057471">
            <w:pPr>
              <w:spacing w:beforeAutospacing="1" w:afterAutospacing="1"/>
            </w:pPr>
            <w:r>
              <w:rPr>
                <w:rFonts w:ascii="Arial" w:hAnsi="Arial"/>
                <w:color w:val="25396E"/>
                <w:sz w:val="16"/>
              </w:rPr>
              <w:lastRenderedPageBreak/>
              <w:t>Other.</w:t>
            </w:r>
          </w:p>
        </w:tc>
        <w:tc>
          <w:tcPr>
            <w:tcW w:w="810" w:type="dxa"/>
            <w:vAlign w:val="center"/>
          </w:tcPr>
          <w:p w14:paraId="411A553C" w14:textId="77777777" w:rsidR="00254C24" w:rsidRDefault="00057471">
            <w:pPr>
              <w:spacing w:beforeAutospacing="1" w:afterAutospacing="1"/>
              <w:jc w:val="right"/>
            </w:pPr>
            <w:r>
              <w:rPr>
                <w:rFonts w:ascii="Arial" w:hAnsi="Arial"/>
                <w:color w:val="000000"/>
                <w:sz w:val="16"/>
              </w:rPr>
              <w:t xml:space="preserve"> </w:t>
            </w:r>
          </w:p>
        </w:tc>
        <w:tc>
          <w:tcPr>
            <w:tcW w:w="900" w:type="dxa"/>
            <w:vAlign w:val="center"/>
          </w:tcPr>
          <w:p w14:paraId="2A44AB9A"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2777ED64" w14:textId="77777777" w:rsidR="00254C24" w:rsidRDefault="00057471">
            <w:pPr>
              <w:spacing w:beforeAutospacing="1" w:afterAutospacing="1"/>
              <w:jc w:val="right"/>
            </w:pPr>
            <w:r>
              <w:rPr>
                <w:rFonts w:ascii="Arial" w:hAnsi="Arial"/>
                <w:color w:val="000000"/>
                <w:sz w:val="16"/>
              </w:rPr>
              <w:t xml:space="preserve"> </w:t>
            </w:r>
          </w:p>
        </w:tc>
        <w:tc>
          <w:tcPr>
            <w:tcW w:w="990" w:type="dxa"/>
            <w:vAlign w:val="center"/>
          </w:tcPr>
          <w:p w14:paraId="3EDAE2E1" w14:textId="77777777" w:rsidR="00254C24" w:rsidRDefault="00057471">
            <w:pPr>
              <w:spacing w:beforeAutospacing="1" w:afterAutospacing="1"/>
              <w:jc w:val="right"/>
            </w:pPr>
            <w:r>
              <w:rPr>
                <w:rFonts w:ascii="Arial" w:hAnsi="Arial"/>
                <w:color w:val="000000"/>
                <w:sz w:val="16"/>
              </w:rPr>
              <w:t xml:space="preserve"> </w:t>
            </w:r>
          </w:p>
        </w:tc>
        <w:tc>
          <w:tcPr>
            <w:tcW w:w="720" w:type="dxa"/>
            <w:vAlign w:val="center"/>
          </w:tcPr>
          <w:p w14:paraId="6E3EAB80" w14:textId="77777777" w:rsidR="00254C24" w:rsidRDefault="00057471">
            <w:pPr>
              <w:spacing w:beforeAutospacing="1" w:afterAutospacing="1"/>
              <w:jc w:val="right"/>
            </w:pPr>
            <w:r>
              <w:rPr>
                <w:rFonts w:ascii="Arial" w:hAnsi="Arial"/>
                <w:color w:val="000000"/>
                <w:sz w:val="16"/>
              </w:rPr>
              <w:t xml:space="preserve"> </w:t>
            </w:r>
          </w:p>
        </w:tc>
      </w:tr>
    </w:tbl>
    <w:p w14:paraId="22DB1E43" w14:textId="77777777" w:rsidR="00254C24" w:rsidRDefault="00057471">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14:paraId="4B24C53C" w14:textId="77777777" w:rsidR="00254C24" w:rsidRDefault="00254C24">
      <w:pPr>
        <w:widowControl w:val="0"/>
        <w:rPr>
          <w:b/>
          <w:sz w:val="24"/>
          <w:szCs w:val="24"/>
        </w:rPr>
      </w:pPr>
    </w:p>
    <w:p w14:paraId="5CAF60EB" w14:textId="77777777" w:rsidR="00254C24" w:rsidRDefault="00057471">
      <w:pPr>
        <w:widowControl w:val="0"/>
        <w:rPr>
          <w:b/>
          <w:sz w:val="24"/>
          <w:szCs w:val="24"/>
        </w:rPr>
      </w:pPr>
      <w:r>
        <w:rPr>
          <w:b/>
          <w:sz w:val="24"/>
          <w:szCs w:val="24"/>
        </w:rPr>
        <w:t>Narrative</w:t>
      </w:r>
    </w:p>
    <w:p w14:paraId="4F25F435" w14:textId="77777777" w:rsidR="00254C24" w:rsidRDefault="00254C24"/>
    <w:sectPr w:rsidR="00254C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4A74C" w14:textId="77777777" w:rsidR="00C82903" w:rsidRDefault="00C82903">
      <w:r>
        <w:separator/>
      </w:r>
    </w:p>
  </w:endnote>
  <w:endnote w:type="continuationSeparator" w:id="0">
    <w:p w14:paraId="5EC625A1" w14:textId="77777777" w:rsidR="00C82903" w:rsidRDefault="00C8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1E0" w:firstRow="1" w:lastRow="1" w:firstColumn="1" w:lastColumn="1" w:noHBand="0" w:noVBand="0"/>
    </w:tblPr>
    <w:tblGrid>
      <w:gridCol w:w="828"/>
      <w:gridCol w:w="7976"/>
      <w:gridCol w:w="772"/>
    </w:tblGrid>
    <w:tr w:rsidR="00254C24" w14:paraId="524E678B" w14:textId="77777777">
      <w:trPr>
        <w:jc w:val="center"/>
      </w:trPr>
      <w:tc>
        <w:tcPr>
          <w:tcW w:w="828" w:type="dxa"/>
        </w:tcPr>
        <w:p w14:paraId="144F1128" w14:textId="77777777" w:rsidR="00254C24" w:rsidRDefault="00254C24">
          <w:pPr>
            <w:pStyle w:val="Footer"/>
            <w:spacing w:after="0" w:line="240" w:lineRule="auto"/>
            <w:jc w:val="center"/>
          </w:pPr>
        </w:p>
      </w:tc>
      <w:tc>
        <w:tcPr>
          <w:tcW w:w="7976" w:type="dxa"/>
        </w:tcPr>
        <w:p w14:paraId="3851ECA5" w14:textId="77777777" w:rsidR="00254C24" w:rsidRDefault="00057471">
          <w:pPr>
            <w:pStyle w:val="Footer"/>
            <w:spacing w:after="0" w:line="240" w:lineRule="auto"/>
            <w:jc w:val="center"/>
          </w:pPr>
          <w:r>
            <w:t>CAPER</w:t>
          </w:r>
        </w:p>
      </w:tc>
      <w:tc>
        <w:tcPr>
          <w:tcW w:w="772" w:type="dxa"/>
        </w:tcPr>
        <w:p w14:paraId="39F049DD" w14:textId="77777777" w:rsidR="00254C24" w:rsidRDefault="00057471">
          <w:pPr>
            <w:pStyle w:val="Footer"/>
            <w:spacing w:after="0" w:line="240" w:lineRule="auto"/>
            <w:jc w:val="right"/>
          </w:pPr>
          <w:r>
            <w:fldChar w:fldCharType="begin"/>
          </w:r>
          <w:r>
            <w:instrText>page</w:instrText>
          </w:r>
          <w:r>
            <w:fldChar w:fldCharType="separate"/>
          </w:r>
          <w:r>
            <w:t>1</w:t>
          </w:r>
          <w:r>
            <w:fldChar w:fldCharType="end"/>
          </w:r>
        </w:p>
      </w:tc>
    </w:tr>
  </w:tbl>
  <w:p w14:paraId="24E72B8B" w14:textId="77777777" w:rsidR="00254C24" w:rsidRDefault="00057471">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80CCE" w14:textId="77777777" w:rsidR="00C82903" w:rsidRDefault="00C82903">
      <w:r>
        <w:separator/>
      </w:r>
    </w:p>
  </w:footnote>
  <w:footnote w:type="continuationSeparator" w:id="0">
    <w:p w14:paraId="540C1948" w14:textId="77777777" w:rsidR="00C82903" w:rsidRDefault="00C82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6C616E9"/>
    <w:multiLevelType w:val="multilevel"/>
    <w:tmpl w:val="1B10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A6965FD"/>
    <w:multiLevelType w:val="multilevel"/>
    <w:tmpl w:val="ABAE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4"/>
  </w:num>
  <w:num w:numId="15">
    <w:abstractNumId w:val="13"/>
  </w:num>
  <w:num w:numId="16">
    <w:abstractNumId w:val="15"/>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471"/>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5A02"/>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4C2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B37"/>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041"/>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B7CCA"/>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46CB2"/>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0CD4"/>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903"/>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A2"/>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47CC1"/>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E0693"/>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 w:type="paragraph" w:styleId="NormalWeb">
    <w:name w:val="Normal (Web)"/>
    <w:basedOn w:val="Normal"/>
    <w:uiPriority w:val="99"/>
    <w:semiHidden/>
    <w:unhideWhenUsed/>
    <w:rsid w:val="000D5A0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locked/>
    <w:rsid w:val="000D5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09299">
      <w:bodyDiv w:val="1"/>
      <w:marLeft w:val="0"/>
      <w:marRight w:val="0"/>
      <w:marTop w:val="0"/>
      <w:marBottom w:val="0"/>
      <w:divBdr>
        <w:top w:val="none" w:sz="0" w:space="0" w:color="auto"/>
        <w:left w:val="none" w:sz="0" w:space="0" w:color="auto"/>
        <w:bottom w:val="none" w:sz="0" w:space="0" w:color="auto"/>
        <w:right w:val="none" w:sz="0" w:space="0" w:color="auto"/>
      </w:divBdr>
    </w:div>
    <w:div w:id="181406670">
      <w:bodyDiv w:val="1"/>
      <w:marLeft w:val="0"/>
      <w:marRight w:val="0"/>
      <w:marTop w:val="0"/>
      <w:marBottom w:val="0"/>
      <w:divBdr>
        <w:top w:val="none" w:sz="0" w:space="0" w:color="auto"/>
        <w:left w:val="none" w:sz="0" w:space="0" w:color="auto"/>
        <w:bottom w:val="none" w:sz="0" w:space="0" w:color="auto"/>
        <w:right w:val="none" w:sz="0" w:space="0" w:color="auto"/>
      </w:divBdr>
    </w:div>
    <w:div w:id="420956462">
      <w:bodyDiv w:val="1"/>
      <w:marLeft w:val="0"/>
      <w:marRight w:val="0"/>
      <w:marTop w:val="0"/>
      <w:marBottom w:val="0"/>
      <w:divBdr>
        <w:top w:val="none" w:sz="0" w:space="0" w:color="auto"/>
        <w:left w:val="none" w:sz="0" w:space="0" w:color="auto"/>
        <w:bottom w:val="none" w:sz="0" w:space="0" w:color="auto"/>
        <w:right w:val="none" w:sz="0" w:space="0" w:color="auto"/>
      </w:divBdr>
    </w:div>
    <w:div w:id="826743938">
      <w:bodyDiv w:val="1"/>
      <w:marLeft w:val="0"/>
      <w:marRight w:val="0"/>
      <w:marTop w:val="0"/>
      <w:marBottom w:val="0"/>
      <w:divBdr>
        <w:top w:val="none" w:sz="0" w:space="0" w:color="auto"/>
        <w:left w:val="none" w:sz="0" w:space="0" w:color="auto"/>
        <w:bottom w:val="none" w:sz="0" w:space="0" w:color="auto"/>
        <w:right w:val="none" w:sz="0" w:space="0" w:color="auto"/>
      </w:divBdr>
    </w:div>
    <w:div w:id="1237475651">
      <w:bodyDiv w:val="1"/>
      <w:marLeft w:val="0"/>
      <w:marRight w:val="0"/>
      <w:marTop w:val="0"/>
      <w:marBottom w:val="0"/>
      <w:divBdr>
        <w:top w:val="none" w:sz="0" w:space="0" w:color="auto"/>
        <w:left w:val="none" w:sz="0" w:space="0" w:color="auto"/>
        <w:bottom w:val="none" w:sz="0" w:space="0" w:color="auto"/>
        <w:right w:val="none" w:sz="0" w:space="0" w:color="auto"/>
      </w:divBdr>
    </w:div>
    <w:div w:id="1352950327">
      <w:bodyDiv w:val="1"/>
      <w:marLeft w:val="0"/>
      <w:marRight w:val="0"/>
      <w:marTop w:val="0"/>
      <w:marBottom w:val="0"/>
      <w:divBdr>
        <w:top w:val="none" w:sz="0" w:space="0" w:color="auto"/>
        <w:left w:val="none" w:sz="0" w:space="0" w:color="auto"/>
        <w:bottom w:val="none" w:sz="0" w:space="0" w:color="auto"/>
        <w:right w:val="none" w:sz="0" w:space="0" w:color="auto"/>
      </w:divBdr>
    </w:div>
    <w:div w:id="1861550216">
      <w:bodyDiv w:val="1"/>
      <w:marLeft w:val="0"/>
      <w:marRight w:val="0"/>
      <w:marTop w:val="0"/>
      <w:marBottom w:val="0"/>
      <w:divBdr>
        <w:top w:val="none" w:sz="0" w:space="0" w:color="auto"/>
        <w:left w:val="none" w:sz="0" w:space="0" w:color="auto"/>
        <w:bottom w:val="none" w:sz="0" w:space="0" w:color="auto"/>
        <w:right w:val="none" w:sz="0" w:space="0" w:color="auto"/>
      </w:divBdr>
    </w:div>
    <w:div w:id="19261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3207735-7fe1-442a-9794-57a8449503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C6D484CD530B429D9DFB3C9FEE4BA1" ma:contentTypeVersion="16" ma:contentTypeDescription="Create a new document." ma:contentTypeScope="" ma:versionID="bfa23386f6b3b09dd5dc17f5ed200cab">
  <xsd:schema xmlns:xsd="http://www.w3.org/2001/XMLSchema" xmlns:xs="http://www.w3.org/2001/XMLSchema" xmlns:p="http://schemas.microsoft.com/office/2006/metadata/properties" xmlns:ns3="13207735-7fe1-442a-9794-57a84495039e" xmlns:ns4="374400e0-c024-4eaf-8476-a53120387d3c" targetNamespace="http://schemas.microsoft.com/office/2006/metadata/properties" ma:root="true" ma:fieldsID="fc66a6845b877c0526a27ecbf028c8ad" ns3:_="" ns4:_="">
    <xsd:import namespace="13207735-7fe1-442a-9794-57a84495039e"/>
    <xsd:import namespace="374400e0-c024-4eaf-8476-a53120387d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07735-7fe1-442a-9794-57a844950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4400e0-c024-4eaf-8476-a53120387d3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DB647A80-65F1-408A-8235-B4F41B039866}">
  <ds:schemaRefs>
    <ds:schemaRef ds:uri="http://schemas.microsoft.com/sharepoint/v3/contenttype/forms"/>
  </ds:schemaRefs>
</ds:datastoreItem>
</file>

<file path=customXml/itemProps2.xml><?xml version="1.0" encoding="utf-8"?>
<ds:datastoreItem xmlns:ds="http://schemas.openxmlformats.org/officeDocument/2006/customXml" ds:itemID="{2C47C926-70C8-4E87-AA55-BAED9C35AEBF}">
  <ds:schemaRefs>
    <ds:schemaRef ds:uri="http://schemas.microsoft.com/office/2006/metadata/properties"/>
    <ds:schemaRef ds:uri="http://purl.org/dc/terms/"/>
    <ds:schemaRef ds:uri="13207735-7fe1-442a-9794-57a84495039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374400e0-c024-4eaf-8476-a53120387d3c"/>
    <ds:schemaRef ds:uri="http://purl.org/dc/dcmitype/"/>
  </ds:schemaRefs>
</ds:datastoreItem>
</file>

<file path=customXml/itemProps3.xml><?xml version="1.0" encoding="utf-8"?>
<ds:datastoreItem xmlns:ds="http://schemas.openxmlformats.org/officeDocument/2006/customXml" ds:itemID="{DF053725-6D0A-4EB2-806C-F7058A5B8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07735-7fe1-442a-9794-57a84495039e"/>
    <ds:schemaRef ds:uri="374400e0-c024-4eaf-8476-a53120387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4B3D5-6360-4125-BDA5-4D1C122CAD24}">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2240</Words>
  <Characters>14581</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Guido Monteleone</cp:lastModifiedBy>
  <cp:revision>2</cp:revision>
  <dcterms:created xsi:type="dcterms:W3CDTF">2025-09-17T17:27:00Z</dcterms:created>
  <dcterms:modified xsi:type="dcterms:W3CDTF">2025-09-17T17:27:00Z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0x010100D8C6D484CD530B429D9DFB3C9FEE4BA1</vt:lpwstr>
  </property>
</Properties>
</file>